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Lines="100" w:before="597" w:afterLines="100" w:after="597" w:line="500" w:lineRule="exact"/>
        <w:jc w:val="center"/>
        <w:rPr>
          <w:rFonts w:eastAsia="方正小标宋简体"/>
          <w:b/>
          <w:color w:val="000000"/>
          <w:sz w:val="44"/>
          <w:szCs w:val="44"/>
        </w:rPr>
      </w:pPr>
      <w:r>
        <w:rPr>
          <w:rFonts w:eastAsia="方正小标宋简体" w:hint="eastAsia"/>
          <w:b/>
          <w:bCs/>
          <w:color w:val="000000"/>
          <w:sz w:val="44"/>
          <w:szCs w:val="44"/>
        </w:rPr>
        <w:t>2021年南充市统计局新增行政权力责任清单</w:t>
      </w:r>
      <w:r>
        <w:rPr>
          <w:rFonts w:eastAsia="方正小标宋简体"/>
          <w:b/>
          <w:color w:val="000000"/>
          <w:sz w:val="44"/>
          <w:szCs w:val="44"/>
        </w:rPr>
        <w:t>​</w:t>
      </w:r>
      <w:r>
        <w:rPr>
          <w:rFonts w:eastAsia="方正小标宋简体"/>
          <w:b/>
          <w:color w:val="000000"/>
          <w:sz w:val="44"/>
          <w:szCs w:val="44"/>
        </w:rPr>
        <w:pgNum/>
      </w:r>
      <w:bookmarkStart w:id="0" w:name="_GoBack"/>
      <w:bookmarkEnd w:id="0"/>
    </w:p>
    <w:p>
      <w:pPr>
        <w:spacing w:line="500" w:lineRule="exact"/>
        <w:jc w:val="left"/>
        <w:rPr>
          <w:rFonts w:eastAsia="宋体"/>
          <w:b/>
          <w:color w:val="000000"/>
          <w:sz w:val="21"/>
          <w:szCs w:val="21"/>
        </w:rPr>
      </w:pPr>
      <w:r>
        <w:rPr>
          <w:rFonts w:eastAsia="宋体"/>
          <w:b/>
          <w:color w:val="000000"/>
          <w:sz w:val="21"/>
          <w:szCs w:val="21"/>
        </w:rPr>
        <w:t>表1</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749"/>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1</w:t>
            </w:r>
          </w:p>
        </w:tc>
      </w:tr>
      <w:tr>
        <w:trPr>
          <w:trHeight w:val="72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65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cs="Times New Roman" w:hint="eastAsia"/>
                <w:sz w:val="21"/>
                <w:szCs w:val="21"/>
                <w:lang w:val="en-US" w:eastAsia="zh-CN"/>
              </w:rPr>
              <w:t>对在经济普查工作中贡献突出的集体和个人给予表彰和奖励</w:t>
            </w:r>
          </w:p>
        </w:tc>
      </w:tr>
      <w:tr>
        <w:trPr>
          <w:trHeight w:val="222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《全国经济普查条例》第三十四条</w:t>
            </w:r>
            <w:bookmarkStart w:id="1" w:name="tiao_34_kuan_1"/>
            <w:bookmarkEnd w:id="1"/>
            <w:r>
              <w:rPr>
                <w:rFonts w:ascii="宋体" w:eastAsia="宋体" w:hint="eastAsia"/>
                <w:sz w:val="21"/>
                <w:szCs w:val="21"/>
              </w:rPr>
              <w:t>　对在经济普查工作中贡献突出的先进集体和先进个人，由各级经济普查机构给予表彰和奖励。</w:t>
            </w:r>
          </w:p>
        </w:tc>
      </w:tr>
      <w:tr>
        <w:trPr>
          <w:trHeight w:val="99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lang w:eastAsia="zh-CN"/>
              </w:rPr>
              <w:t>南充市统计局</w:t>
            </w:r>
          </w:p>
        </w:tc>
      </w:tr>
      <w:tr>
        <w:trPr>
          <w:trHeight w:val="216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168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71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表2</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64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2</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Style w:val="0"/>
                <w:rFonts w:ascii="宋体" w:eastAsia="宋体" w:hint="eastAsia"/>
                <w:color w:val="000000"/>
                <w:sz w:val="21"/>
                <w:szCs w:val="21"/>
              </w:rPr>
              <w:t>对经济普查违法行为举报有功的个人给予奖励</w:t>
            </w:r>
          </w:p>
        </w:tc>
      </w:tr>
      <w:tr>
        <w:trPr>
          <w:trHeight w:val="204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cs="Times New Roman" w:hint="eastAsia"/>
                <w:sz w:val="21"/>
                <w:szCs w:val="21"/>
                <w:lang w:val="en-US" w:eastAsia="zh-CN"/>
              </w:rPr>
              <w:t>《</w:t>
            </w:r>
            <w:r>
              <w:rPr>
                <w:rFonts w:ascii="宋体" w:eastAsia="宋体" w:cs="Times New Roman"/>
                <w:sz w:val="21"/>
                <w:szCs w:val="21"/>
                <w:lang w:val="en-US" w:eastAsia="zh-CN"/>
              </w:rPr>
              <w:t>全国经济普查条例</w:t>
            </w:r>
            <w:r>
              <w:rPr>
                <w:rFonts w:ascii="宋体" w:eastAsia="宋体" w:cs="Times New Roman" w:hint="eastAsia"/>
                <w:sz w:val="21"/>
                <w:szCs w:val="21"/>
                <w:lang w:val="en-US" w:eastAsia="zh-CN"/>
              </w:rPr>
              <w:t>》第三十</w:t>
            </w:r>
            <w:r>
              <w:rPr>
                <w:rFonts w:ascii="宋体" w:eastAsia="宋体" w:cs="Times New Roman"/>
                <w:sz w:val="21"/>
                <w:szCs w:val="21"/>
                <w:lang w:val="en-US" w:eastAsia="zh-CN"/>
              </w:rPr>
              <w:t>七</w:t>
            </w:r>
            <w:r>
              <w:rPr>
                <w:rFonts w:ascii="宋体" w:eastAsia="宋体" w:cs="Times New Roman" w:hint="eastAsia"/>
                <w:sz w:val="21"/>
                <w:szCs w:val="21"/>
                <w:lang w:val="en-US" w:eastAsia="zh-CN"/>
              </w:rPr>
              <w:t>条</w:t>
            </w:r>
            <w:r>
              <w:rPr>
                <w:rFonts w:ascii="宋体" w:eastAsia="宋体" w:cs="Times New Roman"/>
                <w:sz w:val="21"/>
                <w:szCs w:val="21"/>
                <w:lang w:val="en-US" w:eastAsia="zh-CN"/>
              </w:rPr>
              <w:t>　</w:t>
            </w:r>
            <w:r>
              <w:rPr>
                <w:rFonts w:ascii="宋体" w:eastAsia="宋体" w:hint="eastAsia"/>
                <w:sz w:val="21"/>
                <w:szCs w:val="21"/>
              </w:rPr>
              <w:t>各级经济普查机构应当设立举报电话，接受社会各界对经济普查中单位和个人违法行为的检举和监督，并对举报有功人员给予奖励。</w:t>
            </w:r>
          </w:p>
        </w:tc>
      </w:tr>
      <w:tr>
        <w:trPr>
          <w:trHeight w:val="122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lang w:eastAsia="zh-CN"/>
              </w:rPr>
              <w:t>南充市统计局</w:t>
            </w:r>
          </w:p>
        </w:tc>
      </w:tr>
      <w:tr>
        <w:trPr>
          <w:trHeight w:val="293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233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表3</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80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3</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color w:val="000000"/>
                <w:sz w:val="21"/>
                <w:szCs w:val="21"/>
              </w:rPr>
              <w:t>对人口普查中表现突出的单位和个人给予表彰和奖励</w:t>
            </w:r>
          </w:p>
        </w:tc>
      </w:tr>
      <w:tr>
        <w:trPr>
          <w:trHeight w:val="231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cs="Times New Roman" w:hint="eastAsia"/>
                <w:sz w:val="21"/>
                <w:szCs w:val="21"/>
                <w:lang w:val="en-US" w:eastAsia="zh-CN"/>
              </w:rPr>
              <w:t>《</w:t>
            </w:r>
            <w:r>
              <w:rPr>
                <w:rFonts w:ascii="宋体" w:eastAsia="宋体" w:cs="Times New Roman"/>
                <w:sz w:val="21"/>
                <w:szCs w:val="21"/>
                <w:lang w:val="en-US" w:eastAsia="zh-CN"/>
              </w:rPr>
              <w:t>全国人口普查条例</w:t>
            </w:r>
            <w:r>
              <w:rPr>
                <w:rFonts w:ascii="宋体" w:eastAsia="宋体" w:cs="Times New Roman" w:hint="eastAsia"/>
                <w:sz w:val="21"/>
                <w:szCs w:val="21"/>
                <w:lang w:val="en-US" w:eastAsia="zh-CN"/>
              </w:rPr>
              <w:t>》第十条</w:t>
            </w:r>
            <w:r>
              <w:rPr>
                <w:rFonts w:ascii="宋体" w:eastAsia="宋体" w:cs="Times New Roman"/>
                <w:sz w:val="21"/>
                <w:szCs w:val="21"/>
                <w:lang w:val="en-US" w:eastAsia="zh-CN"/>
              </w:rPr>
              <w:t>　</w:t>
            </w:r>
            <w:r>
              <w:rPr>
                <w:rFonts w:ascii="宋体" w:eastAsia="宋体" w:hint="eastAsia"/>
                <w:sz w:val="21"/>
                <w:szCs w:val="21"/>
              </w:rPr>
              <w:t>对认真执行本条例，忠于职守、坚持原则，做出显著成绩的单位和个人，按照国家有关规定给予表彰和奖励。</w:t>
            </w:r>
          </w:p>
        </w:tc>
      </w:tr>
      <w:tr>
        <w:trPr>
          <w:trHeight w:val="122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lang w:eastAsia="zh-CN"/>
              </w:rPr>
              <w:t>南充市</w:t>
            </w:r>
            <w:r>
              <w:rPr>
                <w:rFonts w:ascii="宋体" w:eastAsia="宋体"/>
                <w:sz w:val="21"/>
                <w:szCs w:val="21"/>
                <w:lang w:eastAsia="zh-CN"/>
              </w:rPr>
              <w:t>统计局</w:t>
            </w:r>
          </w:p>
        </w:tc>
      </w:tr>
      <w:tr>
        <w:trPr>
          <w:trHeight w:val="216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183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表4</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80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4</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rPr>
              <w:t>对农业普查中表现突出的单位和个人给予奖励</w:t>
            </w:r>
          </w:p>
        </w:tc>
      </w:tr>
      <w:tr>
        <w:trPr>
          <w:trHeight w:val="227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Style w:val="0"/>
                <w:rFonts w:ascii="宋体" w:eastAsia="宋体" w:hint="eastAsia"/>
                <w:color w:val="000000"/>
                <w:sz w:val="21"/>
                <w:szCs w:val="21"/>
              </w:rPr>
              <w:t>《全国农业普查条例》</w:t>
            </w:r>
            <w:r>
              <w:rPr>
                <w:rFonts w:ascii="宋体" w:eastAsia="宋体" w:hint="eastAsia"/>
                <w:sz w:val="21"/>
                <w:szCs w:val="21"/>
              </w:rPr>
              <w:t>第三十六条对认真执行本条例，忠于职守，坚持原则，做出显著成绩的单位和个人，应当给予奖励。</w:t>
            </w:r>
          </w:p>
        </w:tc>
      </w:tr>
      <w:tr>
        <w:trPr>
          <w:trHeight w:val="122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lang w:eastAsia="zh-CN"/>
              </w:rPr>
              <w:t>南充市</w:t>
            </w:r>
            <w:r>
              <w:rPr>
                <w:rFonts w:ascii="宋体" w:eastAsia="宋体"/>
                <w:sz w:val="21"/>
                <w:szCs w:val="21"/>
                <w:lang w:eastAsia="zh-CN"/>
              </w:rPr>
              <w:t>统计局</w:t>
            </w:r>
          </w:p>
        </w:tc>
      </w:tr>
      <w:tr>
        <w:trPr>
          <w:trHeight w:val="216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 xml:space="preserve"> 1.</w:t>
            </w:r>
            <w:r>
              <w:rPr>
                <w:rFonts w:ascii="宋体" w:eastAsia="宋体" w:hint="eastAsia"/>
                <w:sz w:val="21"/>
                <w:szCs w:val="21"/>
              </w:rPr>
              <w:t>制定方案责任：制定评选、表彰、奖励活动实施方案，并下发方案，在一定范围内组织实施环节责任。</w:t>
            </w:r>
          </w:p>
          <w:p>
            <w:pPr>
              <w:spacing w:line="320" w:lineRule="exact"/>
              <w:ind w:firstLineChars="200" w:firstLine="408"/>
              <w:rPr>
                <w:rFonts w:ascii="宋体" w:eastAsia="宋体"/>
                <w:sz w:val="21"/>
                <w:szCs w:val="21"/>
              </w:rPr>
            </w:pPr>
            <w:r>
              <w:rPr>
                <w:rFonts w:ascii="宋体" w:eastAsia="宋体"/>
                <w:sz w:val="21"/>
                <w:szCs w:val="21"/>
              </w:rPr>
              <w:t>2.</w:t>
            </w:r>
            <w:r>
              <w:rPr>
                <w:rFonts w:ascii="宋体" w:eastAsia="宋体" w:hint="eastAsia"/>
                <w:sz w:val="21"/>
                <w:szCs w:val="21"/>
              </w:rPr>
              <w:t>受理（组织推荐）责任：一次性告知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w:t>
            </w:r>
            <w:r>
              <w:rPr>
                <w:rFonts w:ascii="宋体" w:eastAsia="宋体" w:hint="eastAsia"/>
                <w:sz w:val="21"/>
                <w:szCs w:val="21"/>
              </w:rPr>
              <w:t>评审公示责任：对上报材料等进行审查，必要的可通过实地考察走访等了解情况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其他责任：其他法律法规规章文件规定应履行的责任。</w:t>
            </w:r>
          </w:p>
        </w:tc>
      </w:tr>
      <w:tr>
        <w:trPr>
          <w:trHeight w:val="183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表5</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80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5</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rPr>
              <w:t>对农业普查违法行为举报有功人员给予奖励</w:t>
            </w:r>
          </w:p>
        </w:tc>
      </w:tr>
      <w:tr>
        <w:trPr>
          <w:trHeight w:val="1903"/>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Style w:val="0"/>
                <w:rFonts w:ascii="宋体" w:eastAsia="宋体" w:hint="eastAsia"/>
                <w:color w:val="000000"/>
                <w:sz w:val="21"/>
                <w:szCs w:val="21"/>
              </w:rPr>
              <w:t>《全国农业普查条例》</w:t>
            </w:r>
            <w:r>
              <w:rPr>
                <w:rFonts w:ascii="宋体" w:eastAsia="宋体" w:hint="eastAsia"/>
                <w:sz w:val="21"/>
                <w:szCs w:val="21"/>
              </w:rPr>
              <w:t>第</w:t>
            </w:r>
            <w:r>
              <w:rPr>
                <w:rFonts w:ascii="宋体" w:eastAsia="宋体"/>
                <w:sz w:val="21"/>
                <w:szCs w:val="21"/>
              </w:rPr>
              <w:t>四十一条</w:t>
            </w:r>
            <w:r>
              <w:rPr>
                <w:rFonts w:ascii="宋体" w:eastAsia="宋体" w:hint="eastAsia"/>
                <w:sz w:val="21"/>
                <w:szCs w:val="21"/>
              </w:rPr>
              <w:t>普查办公室应当设立举报电话和信箱，接受社会各界对农业普查违法行为的检举和监督，并对举报有功人员给予奖励</w:t>
            </w:r>
            <w:r>
              <w:rPr>
                <w:rFonts w:ascii="宋体" w:eastAsia="宋体"/>
                <w:sz w:val="21"/>
                <w:szCs w:val="21"/>
              </w:rPr>
              <w:t>。</w:t>
            </w:r>
          </w:p>
        </w:tc>
      </w:tr>
      <w:tr>
        <w:trPr>
          <w:trHeight w:val="122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lang w:eastAsia="zh-CN"/>
              </w:rPr>
              <w:t>南充市</w:t>
            </w:r>
            <w:r>
              <w:rPr>
                <w:rFonts w:ascii="宋体" w:eastAsia="宋体"/>
                <w:sz w:val="21"/>
                <w:szCs w:val="21"/>
                <w:lang w:eastAsia="zh-CN"/>
              </w:rPr>
              <w:t>统计局</w:t>
            </w:r>
          </w:p>
        </w:tc>
      </w:tr>
      <w:tr>
        <w:trPr>
          <w:trHeight w:val="2886"/>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208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表6</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80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6</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对统计工作做出突出贡献、取得显著成绩的单位和个人给予表彰和奖励</w:t>
            </w:r>
          </w:p>
        </w:tc>
      </w:tr>
      <w:tr>
        <w:trPr>
          <w:trHeight w:val="216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Style w:val="0"/>
                <w:rFonts w:ascii="宋体" w:eastAsia="宋体" w:hint="eastAsia"/>
                <w:color w:val="000000"/>
                <w:sz w:val="21"/>
                <w:szCs w:val="21"/>
              </w:rPr>
              <w:t>《中华人民共和国统计法实施条例》</w:t>
            </w:r>
            <w:r>
              <w:rPr>
                <w:rFonts w:ascii="宋体" w:eastAsia="宋体"/>
                <w:color w:val="000000"/>
                <w:sz w:val="21"/>
                <w:szCs w:val="21"/>
              </w:rPr>
              <w:t xml:space="preserve"> </w:t>
            </w:r>
            <w:r>
              <w:rPr>
                <w:rFonts w:ascii="宋体" w:eastAsia="宋体" w:hint="eastAsia"/>
                <w:color w:val="000000"/>
                <w:sz w:val="21"/>
                <w:szCs w:val="21"/>
              </w:rPr>
              <w:t>第三十五条</w:t>
            </w:r>
            <w:r>
              <w:rPr>
                <w:rFonts w:ascii="宋体" w:eastAsia="宋体" w:hint="eastAsia"/>
                <w:sz w:val="21"/>
                <w:szCs w:val="21"/>
              </w:rPr>
              <w:t>对在统计工作中做出突出贡献、取得显著成绩的单位和个人，按照国家有关规定给予表彰和奖励。</w:t>
            </w:r>
          </w:p>
        </w:tc>
      </w:tr>
      <w:tr>
        <w:trPr>
          <w:trHeight w:val="122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lang w:eastAsia="zh-CN"/>
              </w:rPr>
              <w:t>南充市</w:t>
            </w:r>
            <w:r>
              <w:rPr>
                <w:rFonts w:ascii="宋体" w:eastAsia="宋体"/>
                <w:sz w:val="21"/>
                <w:szCs w:val="21"/>
                <w:lang w:eastAsia="zh-CN"/>
              </w:rPr>
              <w:t>统计局</w:t>
            </w:r>
          </w:p>
        </w:tc>
      </w:tr>
      <w:tr>
        <w:trPr>
          <w:trHeight w:val="216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183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360" w:lineRule="exact"/>
        <w:textAlignment w:val="center"/>
        <w:rPr>
          <w:rFonts w:eastAsia="宋体"/>
          <w:b/>
          <w:color w:val="000000"/>
          <w:sz w:val="21"/>
          <w:szCs w:val="21"/>
        </w:rPr>
      </w:pPr>
      <w:r>
        <w:rPr>
          <w:rFonts w:eastAsia="宋体"/>
          <w:b/>
          <w:color w:val="000000"/>
          <w:sz w:val="21"/>
          <w:szCs w:val="21"/>
        </w:rPr>
        <w:t>表7</w:t>
      </w:r>
    </w:p>
    <w:tbl>
      <w:tblPr>
        <w:jc w:val="left"/>
        <w:tblInd w:w="75" w:type="dxa"/>
        <w:tblW w:w="903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015"/>
        <w:gridCol w:w="7019"/>
      </w:tblGrid>
      <w:tr>
        <w:trPr>
          <w:trHeight w:val="808"/>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序</w:t>
            </w:r>
            <w:r>
              <w:rPr>
                <w:rFonts w:ascii="宋体" w:eastAsia="宋体"/>
                <w:sz w:val="21"/>
                <w:szCs w:val="21"/>
              </w:rPr>
              <w:t>  </w:t>
            </w:r>
            <w:r>
              <w:rPr>
                <w:rFonts w:ascii="宋体" w:eastAsia="宋体" w:hint="eastAsia"/>
                <w:sz w:val="21"/>
                <w:szCs w:val="21"/>
              </w:rPr>
              <w:t>号</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7</w:t>
            </w:r>
          </w:p>
        </w:tc>
      </w:tr>
      <w:tr>
        <w:trPr>
          <w:trHeight w:val="9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权力类型</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hint="eastAsia"/>
                <w:sz w:val="21"/>
                <w:szCs w:val="21"/>
                <w:lang w:eastAsia="zh-CN"/>
              </w:rPr>
            </w:pPr>
            <w:r>
              <w:rPr>
                <w:rFonts w:ascii="宋体" w:eastAsia="宋体" w:hint="eastAsia"/>
                <w:sz w:val="21"/>
                <w:szCs w:val="21"/>
              </w:rPr>
              <w:t>行政</w:t>
            </w:r>
            <w:r>
              <w:rPr>
                <w:rFonts w:ascii="宋体" w:eastAsia="宋体" w:hint="eastAsia"/>
                <w:sz w:val="21"/>
                <w:szCs w:val="21"/>
                <w:lang w:eastAsia="zh-CN"/>
              </w:rPr>
              <w:t>奖励</w:t>
            </w:r>
          </w:p>
        </w:tc>
      </w:tr>
      <w:tr>
        <w:trPr>
          <w:trHeight w:val="1470"/>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权力项目名称</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对统计中弄虚作假等违法行为检举有功的单位和个人给予表彰和奖励</w:t>
            </w:r>
          </w:p>
        </w:tc>
      </w:tr>
      <w:tr>
        <w:trPr>
          <w:trHeight w:val="1931"/>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实施依据</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Style w:val="0"/>
                <w:rFonts w:ascii="宋体" w:eastAsia="宋体" w:hint="eastAsia"/>
                <w:color w:val="000000"/>
                <w:sz w:val="21"/>
                <w:szCs w:val="21"/>
              </w:rPr>
              <w:t>《中华人民共和国统计法》</w:t>
            </w:r>
            <w:r>
              <w:rPr>
                <w:rStyle w:val="0"/>
                <w:rFonts w:ascii="宋体" w:eastAsia="宋体"/>
                <w:color w:val="000000"/>
                <w:sz w:val="21"/>
                <w:szCs w:val="21"/>
              </w:rPr>
              <w:t xml:space="preserve"> </w:t>
            </w:r>
            <w:r>
              <w:rPr>
                <w:rFonts w:ascii="宋体" w:eastAsia="宋体" w:hint="eastAsia"/>
                <w:color w:val="000000"/>
                <w:sz w:val="21"/>
                <w:szCs w:val="21"/>
              </w:rPr>
              <w:t>第</w:t>
            </w:r>
            <w:r>
              <w:rPr>
                <w:rFonts w:ascii="宋体" w:eastAsia="宋体"/>
                <w:color w:val="000000"/>
                <w:sz w:val="21"/>
                <w:szCs w:val="21"/>
              </w:rPr>
              <w:t>八</w:t>
            </w:r>
            <w:r>
              <w:rPr>
                <w:rFonts w:ascii="宋体" w:eastAsia="宋体" w:hint="eastAsia"/>
                <w:color w:val="000000"/>
                <w:sz w:val="21"/>
                <w:szCs w:val="21"/>
              </w:rPr>
              <w:t>条</w:t>
            </w:r>
            <w:r>
              <w:rPr>
                <w:rFonts w:ascii="宋体" w:eastAsia="宋体"/>
                <w:color w:val="000000"/>
                <w:sz w:val="21"/>
                <w:szCs w:val="21"/>
              </w:rPr>
              <w:t xml:space="preserve">  </w:t>
            </w:r>
            <w:r>
              <w:rPr>
                <w:rFonts w:ascii="宋体" w:eastAsia="宋体" w:hint="eastAsia"/>
                <w:sz w:val="21"/>
                <w:szCs w:val="21"/>
              </w:rPr>
              <w:t>统计工作应当接受社会公众的监督。任何单位和个人有权检举统计中弄虚作假等违法行为。对检举有功的单位和个人应当给予表彰和奖励</w:t>
            </w:r>
            <w:r>
              <w:rPr>
                <w:rFonts w:ascii="宋体" w:eastAsia="宋体"/>
                <w:sz w:val="21"/>
                <w:szCs w:val="21"/>
              </w:rPr>
              <w:t>。</w:t>
            </w:r>
          </w:p>
        </w:tc>
      </w:tr>
      <w:tr>
        <w:trPr>
          <w:trHeight w:val="902"/>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责任主体</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hint="eastAsia"/>
                <w:sz w:val="21"/>
                <w:szCs w:val="21"/>
                <w:lang w:eastAsia="zh-CN"/>
              </w:rPr>
              <w:t>南充市</w:t>
            </w:r>
            <w:r>
              <w:rPr>
                <w:rFonts w:ascii="宋体" w:eastAsia="宋体"/>
                <w:sz w:val="21"/>
                <w:szCs w:val="21"/>
                <w:lang w:eastAsia="zh-CN"/>
              </w:rPr>
              <w:t>统计局</w:t>
            </w:r>
          </w:p>
        </w:tc>
      </w:tr>
      <w:tr>
        <w:trPr>
          <w:trHeight w:val="2889"/>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责任事项</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sz w:val="21"/>
                <w:szCs w:val="21"/>
              </w:rPr>
              <w:t>1.</w:t>
            </w:r>
            <w:r>
              <w:rPr>
                <w:rFonts w:ascii="宋体" w:eastAsia="宋体" w:hint="eastAsia"/>
                <w:sz w:val="21"/>
                <w:szCs w:val="21"/>
              </w:rPr>
              <w:t>制定方案责任：制定评选、表彰、奖励活动实施方案，并下发方案，在一定范围内组织实施。</w:t>
            </w:r>
          </w:p>
          <w:p>
            <w:pPr>
              <w:spacing w:line="320" w:lineRule="exact"/>
              <w:ind w:firstLineChars="200" w:firstLine="408"/>
              <w:rPr>
                <w:rFonts w:ascii="宋体" w:eastAsia="宋体"/>
                <w:sz w:val="21"/>
                <w:szCs w:val="21"/>
              </w:rPr>
            </w:pPr>
            <w:r>
              <w:rPr>
                <w:rFonts w:ascii="宋体" w:eastAsia="宋体"/>
                <w:sz w:val="21"/>
                <w:szCs w:val="21"/>
              </w:rPr>
              <w:t>2.组织推荐责任</w:t>
            </w:r>
            <w:r>
              <w:rPr>
                <w:rFonts w:ascii="宋体" w:eastAsia="宋体" w:hint="eastAsia"/>
                <w:sz w:val="21"/>
                <w:szCs w:val="21"/>
              </w:rPr>
              <w:t>：一次性告知</w:t>
            </w:r>
            <w:r>
              <w:rPr>
                <w:rFonts w:ascii="宋体" w:eastAsia="宋体"/>
                <w:sz w:val="21"/>
                <w:szCs w:val="21"/>
              </w:rPr>
              <w:t>评选</w:t>
            </w:r>
            <w:r>
              <w:rPr>
                <w:rFonts w:ascii="宋体" w:eastAsia="宋体" w:hint="eastAsia"/>
                <w:sz w:val="21"/>
                <w:szCs w:val="21"/>
              </w:rPr>
              <w:t>材料；依法受理或者不予受理，不予受理的应当告知理由。</w:t>
            </w:r>
          </w:p>
          <w:p>
            <w:pPr>
              <w:spacing w:line="320" w:lineRule="exact"/>
              <w:ind w:firstLineChars="200" w:firstLine="408"/>
              <w:rPr>
                <w:rFonts w:ascii="宋体" w:eastAsia="宋体"/>
                <w:sz w:val="21"/>
                <w:szCs w:val="21"/>
              </w:rPr>
            </w:pPr>
            <w:r>
              <w:rPr>
                <w:rFonts w:ascii="宋体" w:eastAsia="宋体"/>
                <w:sz w:val="21"/>
                <w:szCs w:val="21"/>
              </w:rPr>
              <w:t>3.审核公示责任</w:t>
            </w:r>
            <w:r>
              <w:rPr>
                <w:rFonts w:ascii="宋体" w:eastAsia="宋体" w:hint="eastAsia"/>
                <w:sz w:val="21"/>
                <w:szCs w:val="21"/>
              </w:rPr>
              <w:t>：对上报材料等进行审查，必要的可通过实地考察走访等了解情况</w:t>
            </w:r>
            <w:r>
              <w:rPr>
                <w:rFonts w:ascii="宋体" w:eastAsia="宋体"/>
                <w:sz w:val="21"/>
                <w:szCs w:val="21"/>
              </w:rPr>
              <w:t>；</w:t>
            </w:r>
            <w:r>
              <w:rPr>
                <w:rFonts w:ascii="宋体" w:eastAsia="宋体" w:hint="eastAsia"/>
                <w:sz w:val="21"/>
                <w:szCs w:val="21"/>
              </w:rPr>
              <w:t>提出拟表彰奖励名单</w:t>
            </w:r>
            <w:r>
              <w:rPr>
                <w:rFonts w:ascii="宋体" w:eastAsia="宋体"/>
                <w:sz w:val="21"/>
                <w:szCs w:val="21"/>
              </w:rPr>
              <w:t>，按程序进行公示</w:t>
            </w:r>
            <w:r>
              <w:rPr>
                <w:rFonts w:ascii="宋体" w:eastAsia="宋体" w:hint="eastAsia"/>
                <w:sz w:val="21"/>
                <w:szCs w:val="21"/>
              </w:rPr>
              <w:t>。</w:t>
            </w:r>
          </w:p>
          <w:p>
            <w:pPr>
              <w:spacing w:line="320" w:lineRule="exact"/>
              <w:ind w:firstLineChars="200" w:firstLine="408"/>
              <w:rPr>
                <w:rFonts w:ascii="宋体" w:eastAsia="宋体"/>
                <w:sz w:val="21"/>
                <w:szCs w:val="21"/>
              </w:rPr>
            </w:pPr>
            <w:r>
              <w:rPr>
                <w:rFonts w:ascii="宋体" w:eastAsia="宋体"/>
                <w:sz w:val="21"/>
                <w:szCs w:val="21"/>
              </w:rPr>
              <w:t>4.</w:t>
            </w:r>
            <w:r>
              <w:rPr>
                <w:rFonts w:ascii="宋体" w:eastAsia="宋体" w:hint="eastAsia"/>
                <w:sz w:val="21"/>
                <w:szCs w:val="21"/>
              </w:rPr>
              <w:t>表彰责任：按表彰奖励范围、层次等报有权机关审定，需要上报政府的，要经政府审定；规定时间内</w:t>
            </w:r>
            <w:r>
              <w:rPr>
                <w:rFonts w:ascii="宋体" w:eastAsia="宋体"/>
                <w:sz w:val="21"/>
                <w:szCs w:val="21"/>
              </w:rPr>
              <w:t>,</w:t>
            </w:r>
            <w:r>
              <w:rPr>
                <w:rFonts w:ascii="宋体" w:eastAsia="宋体" w:hint="eastAsia"/>
                <w:sz w:val="21"/>
                <w:szCs w:val="21"/>
              </w:rPr>
              <w:t>对表彰奖励决定予以公开、公示。</w:t>
            </w:r>
          </w:p>
          <w:p>
            <w:pPr>
              <w:spacing w:line="320" w:lineRule="exact"/>
              <w:ind w:firstLineChars="200" w:firstLine="408"/>
              <w:rPr>
                <w:rFonts w:ascii="宋体" w:eastAsia="宋体"/>
                <w:sz w:val="21"/>
                <w:szCs w:val="21"/>
              </w:rPr>
            </w:pPr>
            <w:r>
              <w:rPr>
                <w:rFonts w:ascii="宋体" w:eastAsia="宋体"/>
                <w:sz w:val="21"/>
                <w:szCs w:val="21"/>
              </w:rPr>
              <w:t>5.</w:t>
            </w:r>
            <w:r>
              <w:rPr>
                <w:rFonts w:ascii="宋体" w:eastAsia="宋体" w:hint="eastAsia"/>
                <w:sz w:val="21"/>
                <w:szCs w:val="21"/>
              </w:rPr>
              <w:t>其他责任：法律法规规章文件规定应履行的其他责任。</w:t>
            </w:r>
          </w:p>
        </w:tc>
      </w:tr>
      <w:tr>
        <w:trPr>
          <w:trHeight w:val="1769"/>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追责情形</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对不履行或不正确履行行政职责的行政机关及其工作人员，依据《中华人民共和国统计法》《中华人民共和国监察法》《中华人民共和国行政处罚法》《中华人民共和国行政强制法》《行政机关公务员处分条例》《四川省行政执法监督条例》《四川省</w:t>
            </w:r>
            <w:r>
              <w:rPr>
                <w:rFonts w:ascii="宋体" w:eastAsia="宋体"/>
                <w:sz w:val="21"/>
                <w:szCs w:val="21"/>
              </w:rPr>
              <w:t>统计管理条例</w:t>
            </w:r>
            <w:r>
              <w:rPr>
                <w:rFonts w:ascii="宋体" w:eastAsia="宋体" w:hint="eastAsia"/>
                <w:sz w:val="21"/>
                <w:szCs w:val="21"/>
              </w:rPr>
              <w:t>》等法律法规规章的相关规定追究相应的责任。</w:t>
            </w:r>
          </w:p>
        </w:tc>
      </w:tr>
      <w:tr>
        <w:trPr>
          <w:trHeight w:val="1045"/>
        </w:trPr>
        <w:tc>
          <w:tcPr>
            <w:tcW w:w="2015"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rPr>
                <w:rFonts w:ascii="宋体" w:eastAsia="宋体"/>
                <w:sz w:val="21"/>
                <w:szCs w:val="21"/>
              </w:rPr>
            </w:pPr>
            <w:r>
              <w:rPr>
                <w:rFonts w:ascii="宋体" w:eastAsia="宋体" w:hint="eastAsia"/>
                <w:sz w:val="21"/>
                <w:szCs w:val="21"/>
              </w:rPr>
              <w:t>监督电话</w:t>
            </w:r>
          </w:p>
        </w:tc>
        <w:tc>
          <w:tcPr>
            <w:tcW w:w="7019"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pPr>
              <w:spacing w:line="320" w:lineRule="exact"/>
              <w:ind w:firstLineChars="200" w:firstLine="408"/>
              <w:jc w:val="center"/>
              <w:rPr>
                <w:rFonts w:ascii="宋体" w:eastAsia="宋体"/>
                <w:sz w:val="21"/>
                <w:szCs w:val="21"/>
              </w:rPr>
            </w:pPr>
            <w:r>
              <w:rPr>
                <w:rFonts w:ascii="宋体" w:eastAsia="宋体"/>
                <w:sz w:val="21"/>
                <w:szCs w:val="21"/>
              </w:rPr>
              <w:t>0817—2666589</w:t>
            </w:r>
          </w:p>
        </w:tc>
      </w:tr>
    </w:tbl>
    <w:p>
      <w:pPr>
        <w:spacing w:line="590" w:lineRule="exact"/>
        <w:rPr>
          <w:rFonts w:ascii="方正仿宋_GBK" w:eastAsia="方正仿宋_GBK"/>
          <w:b/>
          <w:sz w:val="28"/>
          <w:szCs w:val="28"/>
        </w:rPr>
      </w:pPr>
    </w:p>
    <w:sectPr>
      <w:footerReference w:type="default" r:id="rId2"/>
      <w:footerReference w:type="even" r:id="rId3"/>
      <w:pgSz w:w="11906" w:h="16838"/>
      <w:pgMar w:top="2098" w:right="1474" w:bottom="1418" w:left="1588" w:header="851" w:footer="1247" w:gutter="0"/>
      <w:titlePg/>
      <w:docGrid w:type="linesAndChars" w:linePitch="597" w:charSpace="-1266"/>
    </w:sectPr>
  </w:body>
</w:document>
</file>

<file path=word/fontTable.xml><?xml version="1.0" encoding="utf-8"?>
<w:fonts xmlns:w="http://schemas.openxmlformats.org/wordprocessingml/2006/main" xmlns:r="http://schemas.openxmlformats.org/officeDocument/2006/relationships">
  <w:font w:name="宋体">
    <w:altName w:val="方正书宋_GBK"/>
    <w:panose1 w:val="00000000000000000000"/>
    <w:charset w:val="00"/>
    <w:family w:val="auto"/>
    <w:pitch w:val="variable"/>
    <w:sig w:usb0="00000000" w:usb1="00000000" w:usb2="00000000" w:usb3="00000000" w:csb0="00000000" w:csb1="00000000"/>
  </w:font>
  <w:font w:name="方正小标宋简体">
    <w:altName w:val="方正小标宋_GBK"/>
    <w:panose1 w:val="00000000000000000000"/>
    <w:charset w:val="86"/>
    <w:family w:val="script"/>
    <w:pitch w:val="variable"/>
    <w:sig w:usb0="00000000" w:usb1="00000000" w:usb2="00000010" w:usb3="00000000" w:csb0="00040000" w:csb1="00000000"/>
  </w:font>
  <w:font w:name="Times New Roman">
    <w:altName w:val="DejaVu Sans"/>
    <w:panose1 w:val="00000000000000000000"/>
    <w:charset w:val="86"/>
    <w:family w:val="auto"/>
    <w:pitch w:val="variable"/>
    <w:sig w:usb0="00000000" w:usb1="00000000" w:usb2="00000000" w:usb3="00000000" w:csb0="00000000" w:csb1="00000000"/>
  </w:font>
  <w:font w:name="方正仿宋_GBK">
    <w:panose1 w:val="02000000000000000000"/>
    <w:charset w:val="86"/>
    <w:family w:val="script"/>
    <w:pitch w:val="variable"/>
    <w:sig w:usb0="A00002BF" w:usb1="38CF7CFA" w:usb2="00082016" w:usb3="00000000" w:csb0="00040001" w:csb1="00000000"/>
  </w:font>
  <w:font w:name="方正仿宋简体">
    <w:altName w:val="方正仿宋_GBK"/>
    <w:panose1 w:val="00000000000000000000"/>
    <w:charset w:val="86"/>
    <w:family w:val="auto"/>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outside" w:y="1" w:anchorLock="0"/>
      <w:tabs>
        <w:tab w:val="center" w:pos="4153"/>
        <w:tab w:val="right" w:pos="8306"/>
      </w:tabs>
      <w:ind w:leftChars="100" w:left="320" w:rightChars="100" w:right="320"/>
      <w:rPr>
        <w:rStyle w:val="19"/>
        <w:rFonts w:ascii="宋体" w:eastAsia="宋体"/>
        <w:sz w:val="28"/>
        <w:szCs w:val="28"/>
      </w:rPr>
    </w:pPr>
    <w:r>
      <w:rPr>
        <w:rStyle w:val="19"/>
        <w:rFonts w:ascii="宋体" w:eastAsia="宋体" w:hint="eastAsia"/>
        <w:sz w:val="28"/>
        <w:szCs w:val="28"/>
      </w:rPr>
      <w:t xml:space="preserve">— </w:t>
    </w:r>
    <w:r>
      <w:rPr>
        <w:rStyle w:val="19"/>
        <w:rFonts w:ascii="宋体" w:eastAsia="宋体" w:hint="eastAsia"/>
        <w:sz w:val="28"/>
        <w:szCs w:val="28"/>
      </w:rPr>
      <w:fldChar w:fldCharType="begin"/>
    </w:r>
    <w:r>
      <w:rPr>
        <w:rStyle w:val="19"/>
        <w:rFonts w:ascii="宋体" w:eastAsia="宋体" w:hint="eastAsia"/>
        <w:sz w:val="28"/>
        <w:szCs w:val="28"/>
      </w:rPr>
      <w:instrText xml:space="preserve">PAGE  </w:instrText>
    </w:r>
    <w:r>
      <w:rPr>
        <w:rStyle w:val="19"/>
        <w:rFonts w:ascii="宋体" w:eastAsia="宋体" w:hint="eastAsia"/>
        <w:sz w:val="28"/>
        <w:szCs w:val="28"/>
      </w:rPr>
      <w:fldChar w:fldCharType="separate"/>
    </w:r>
    <w:r>
      <w:rPr>
        <w:rStyle w:val="19"/>
        <w:rFonts w:ascii="宋体" w:eastAsia="宋体"/>
        <w:sz w:val="28"/>
        <w:szCs w:val="28"/>
      </w:rPr>
      <w:t>6</w:t>
    </w:r>
    <w:r>
      <w:rPr>
        <w:rStyle w:val="19"/>
        <w:rFonts w:ascii="宋体" w:eastAsia="宋体" w:hint="eastAsia"/>
        <w:sz w:val="28"/>
        <w:szCs w:val="28"/>
      </w:rPr>
      <w:fldChar w:fldCharType="end"/>
    </w:r>
    <w:r>
      <w:rPr>
        <w:rStyle w:val="19"/>
        <w:rFonts w:ascii="宋体" w:eastAsia="宋体" w:hint="eastAsia"/>
        <w:sz w:val="28"/>
        <w:szCs w:val="28"/>
      </w:rPr>
      <w:t>—</w:t>
    </w:r>
  </w:p>
  <w:p>
    <w:pPr>
      <w:pStyle w:val="17"/>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outside" w:y="1" w:anchorLock="0"/>
      <w:tabs>
        <w:tab w:val="center" w:pos="4153"/>
        <w:tab w:val="right" w:pos="8306"/>
      </w:tabs>
      <w:rPr>
        <w:rStyle w:val="19"/>
      </w:rPr>
    </w:pPr>
    <w:r>
      <w:rPr>
        <w:rStyle w:val="19"/>
      </w:rPr>
      <w:fldChar w:fldCharType="begin"/>
    </w:r>
    <w:r>
      <w:rPr>
        <w:rStyle w:val="19"/>
      </w:rPr>
      <w:instrText xml:space="preserve">PAGE  </w:instrText>
    </w:r>
    <w:r>
      <w:rPr>
        <w:rStyle w:val="19"/>
      </w:rPr>
      <w:fldChar w:fldCharType="separate"/>
    </w:r>
    <w:r>
      <w:rPr>
        <w:rStyle w:val="19"/>
      </w:rPr>
      <w:t xml:space="preserve"> </w:t>
    </w:r>
    <w:r>
      <w:rPr>
        <w:rStyle w:val="19"/>
      </w:rPr>
      <w:fldChar w:fldCharType="end"/>
    </w:r>
  </w:p>
  <w:p>
    <w:pPr>
      <w:pStyle w:val="17"/>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9"/>
  <w:doNotDisplayPageBoundaries/>
  <w:bordersDoNotSurroundHeader/>
  <w:bordersDoNotSurroundFooter/>
  <w:documentProtection w:edit="readOnly" w:enforcement="0"/>
  <w:defaultTabStop w:val="420"/>
  <w:drawingGridHorizontalSpacing w:val="157"/>
  <w:drawingGridVerticalSpacing w:val="597"/>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简体" w:cs="Times New Roman" w:hAnsi="Times New Roman"/>
      <w:kern w:val="2"/>
      <w:sz w:val="32"/>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spacing w:before="0" w:beforeAutospacing="1" w:after="0" w:afterAutospacing="1"/>
      <w:jc w:val="left"/>
      <w:outlineLvl w:val="1"/>
    </w:pPr>
    <w:rPr>
      <w:rFonts w:ascii="宋体" w:eastAsia="宋体" w:cs="宋体"/>
      <w:b/>
      <w:kern w:val="0"/>
      <w:sz w:val="36"/>
      <w:szCs w:val="36"/>
      <w:lang w:val="en-US" w:eastAsia="zh-CN"/>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character" w:styleId="19">
    <w:name w:val="page number"/>
    <w:basedOn w:val="10"/>
  </w:style>
  <w:style w:type="character" w:styleId="20">
    <w:name w:val="Hyperlink"/>
    <w:basedOn w:val="10"/>
    <w:rPr>
      <w:color w:val="0000FF"/>
      <w:u w:val="single"/>
    </w:rPr>
  </w:style>
  <w:style w:type="character" w:styleId="21">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61</TotalTime>
  <Application>Yozo_Office27021597764231179</Application>
  <Pages>8</Pages>
  <Words>3503</Words>
  <Characters>3612</Characters>
  <Lines>213</Lines>
  <Paragraphs>148</Paragraphs>
  <CharactersWithSpaces>3634</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title>研究小龙物流园区建设相关问题的会议纪要</dc:title>
  <dc:creator>李海燕</dc:creator>
  <cp:lastModifiedBy>user</cp:lastModifiedBy>
  <cp:revision>4</cp:revision>
  <cp:lastPrinted>2020-11-13T15:56:00Z</cp:lastPrinted>
  <dcterms:created xsi:type="dcterms:W3CDTF">2021-01-21T08:26:00Z</dcterms:created>
  <dcterms:modified xsi:type="dcterms:W3CDTF">2022-01-05T08:01:35Z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2052-11.1.0.10161</vt:lpwstr>
  </property>
</Properties>
</file>