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left"/>
        <w:rPr>
          <w:rFonts w:hint="eastAsia" w:ascii="方正黑体简体" w:eastAsia="方正黑体简体"/>
          <w:color w:val="000000"/>
          <w:kern w:val="0"/>
          <w:sz w:val="30"/>
          <w:szCs w:val="30"/>
        </w:rPr>
      </w:pPr>
      <w:r>
        <w:rPr>
          <w:rFonts w:hint="eastAsia" w:ascii="方正黑体简体" w:eastAsia="方正黑体简体"/>
          <w:color w:val="000000"/>
          <w:kern w:val="0"/>
          <w:sz w:val="30"/>
          <w:szCs w:val="30"/>
        </w:rPr>
        <w:t>附件</w:t>
      </w:r>
    </w:p>
    <w:p>
      <w:pPr>
        <w:widowControl/>
        <w:shd w:val="clear" w:color="auto" w:fill="FFFFFF"/>
        <w:spacing w:line="300" w:lineRule="exact"/>
        <w:jc w:val="left"/>
        <w:rPr>
          <w:rFonts w:hint="eastAsia" w:eastAsia="方正小标宋简体"/>
          <w:color w:val="000000"/>
          <w:kern w:val="0"/>
          <w:sz w:val="30"/>
          <w:szCs w:val="30"/>
        </w:rPr>
      </w:pPr>
    </w:p>
    <w:p>
      <w:pPr>
        <w:widowControl/>
        <w:shd w:val="clear" w:color="auto" w:fill="FFFFFF"/>
        <w:spacing w:line="540" w:lineRule="exact"/>
        <w:jc w:val="center"/>
        <w:rPr>
          <w:color w:val="000000"/>
          <w:kern w:val="0"/>
          <w:szCs w:val="21"/>
        </w:rPr>
      </w:pPr>
      <w:bookmarkStart w:id="0" w:name="_GoBack"/>
      <w:r>
        <w:rPr>
          <w:rFonts w:eastAsia="方正小标宋简体"/>
          <w:color w:val="000000"/>
          <w:kern w:val="0"/>
          <w:sz w:val="44"/>
          <w:szCs w:val="44"/>
        </w:rPr>
        <w:t>南充市生猪猪肉市场价格调控预案</w:t>
      </w:r>
      <w:bookmarkEnd w:id="0"/>
    </w:p>
    <w:p>
      <w:pPr>
        <w:widowControl/>
        <w:shd w:val="clear" w:color="auto" w:fill="FFFFFF"/>
        <w:spacing w:line="300" w:lineRule="exact"/>
        <w:jc w:val="center"/>
        <w:rPr>
          <w:color w:val="000000"/>
          <w:kern w:val="0"/>
          <w:szCs w:val="21"/>
        </w:rPr>
      </w:pPr>
    </w:p>
    <w:p>
      <w:pPr>
        <w:widowControl/>
        <w:shd w:val="clear" w:color="auto" w:fill="FFFFFF"/>
        <w:spacing w:line="560" w:lineRule="exact"/>
        <w:ind w:firstLine="622" w:firstLineChars="200"/>
        <w:rPr>
          <w:rFonts w:eastAsia="仿宋"/>
          <w:b/>
          <w:color w:val="000000"/>
          <w:kern w:val="0"/>
          <w:sz w:val="32"/>
          <w:szCs w:val="32"/>
        </w:rPr>
      </w:pPr>
      <w:r>
        <w:rPr>
          <w:rFonts w:eastAsia="仿宋"/>
          <w:b/>
          <w:color w:val="000000"/>
          <w:kern w:val="0"/>
          <w:sz w:val="32"/>
          <w:szCs w:val="32"/>
        </w:rPr>
        <w:t>为全面贯彻落实国、省、市关于生猪猪肉市场保供稳价工作一系列指示要求，建立健全我市生猪猪肉市场价格调控机制，促进生猪产业稳定发展和市场平稳运行，维护生产者和消费者利益，根据国家发展改革委、财政部、农业农村部、商务部、市场监管总局《关于印发〈完善政府猪肉储备调节机制 做好猪肉市场保供稳价工作预案〉的通知》（发改价格〔</w:t>
      </w:r>
      <w:r>
        <w:rPr>
          <w:b/>
          <w:color w:val="000000"/>
          <w:kern w:val="0"/>
          <w:sz w:val="32"/>
          <w:szCs w:val="32"/>
        </w:rPr>
        <w:t>2021</w:t>
      </w:r>
      <w:r>
        <w:rPr>
          <w:rFonts w:eastAsia="仿宋"/>
          <w:b/>
          <w:color w:val="000000"/>
          <w:kern w:val="0"/>
          <w:sz w:val="32"/>
          <w:szCs w:val="32"/>
        </w:rPr>
        <w:t>〕77</w:t>
      </w:r>
      <w:r>
        <w:rPr>
          <w:b/>
          <w:color w:val="000000"/>
          <w:kern w:val="0"/>
          <w:sz w:val="32"/>
          <w:szCs w:val="32"/>
        </w:rPr>
        <w:t>0</w:t>
      </w:r>
      <w:r>
        <w:rPr>
          <w:rFonts w:eastAsia="仿宋"/>
          <w:b/>
          <w:color w:val="000000"/>
          <w:kern w:val="0"/>
          <w:sz w:val="32"/>
          <w:szCs w:val="32"/>
        </w:rPr>
        <w:t>号）和省发展改革委、财政厅、农业农村厅、商务厅、</w:t>
      </w:r>
      <w:r>
        <w:rPr>
          <w:rFonts w:hint="eastAsia" w:eastAsia="仿宋"/>
          <w:b/>
          <w:color w:val="000000"/>
          <w:kern w:val="0"/>
          <w:sz w:val="32"/>
          <w:szCs w:val="32"/>
        </w:rPr>
        <w:t>省</w:t>
      </w:r>
      <w:r>
        <w:rPr>
          <w:rFonts w:eastAsia="仿宋"/>
          <w:b/>
          <w:color w:val="000000"/>
          <w:kern w:val="0"/>
          <w:sz w:val="32"/>
          <w:szCs w:val="32"/>
        </w:rPr>
        <w:t>市场监管局等5部门《关于印发〈四川省生猪猪肉市场价格调控预案〉的通知》（川发改价格〔</w:t>
      </w:r>
      <w:r>
        <w:rPr>
          <w:b/>
          <w:color w:val="000000"/>
          <w:kern w:val="0"/>
          <w:sz w:val="32"/>
          <w:szCs w:val="32"/>
        </w:rPr>
        <w:t>2021</w:t>
      </w:r>
      <w:r>
        <w:rPr>
          <w:rFonts w:eastAsia="仿宋"/>
          <w:b/>
          <w:color w:val="000000"/>
          <w:kern w:val="0"/>
          <w:sz w:val="32"/>
          <w:szCs w:val="32"/>
        </w:rPr>
        <w:t>〕</w:t>
      </w:r>
      <w:r>
        <w:rPr>
          <w:b/>
          <w:color w:val="000000"/>
          <w:kern w:val="0"/>
          <w:sz w:val="32"/>
          <w:szCs w:val="32"/>
        </w:rPr>
        <w:t>330</w:t>
      </w:r>
      <w:r>
        <w:rPr>
          <w:rFonts w:eastAsia="仿宋"/>
          <w:b/>
          <w:color w:val="000000"/>
          <w:kern w:val="0"/>
          <w:sz w:val="32"/>
          <w:szCs w:val="32"/>
        </w:rPr>
        <w:t>号）精神，结合我市实际情况，制定本调控预案。</w:t>
      </w:r>
    </w:p>
    <w:p>
      <w:pPr>
        <w:widowControl/>
        <w:shd w:val="clear" w:color="auto" w:fill="FFFFFF"/>
        <w:spacing w:line="560" w:lineRule="exact"/>
        <w:ind w:firstLine="640"/>
        <w:rPr>
          <w:rFonts w:eastAsia="黑体"/>
          <w:b/>
          <w:color w:val="000000"/>
          <w:kern w:val="0"/>
          <w:sz w:val="32"/>
          <w:szCs w:val="32"/>
        </w:rPr>
      </w:pPr>
      <w:r>
        <w:rPr>
          <w:rFonts w:eastAsia="黑体"/>
          <w:b/>
          <w:color w:val="000000"/>
          <w:kern w:val="0"/>
          <w:sz w:val="32"/>
          <w:szCs w:val="32"/>
        </w:rPr>
        <w:t>一、总体目标</w:t>
      </w:r>
    </w:p>
    <w:p>
      <w:pPr>
        <w:widowControl/>
        <w:shd w:val="clear" w:color="auto" w:fill="FFFFFF"/>
        <w:spacing w:line="560" w:lineRule="exact"/>
        <w:ind w:firstLine="640"/>
        <w:rPr>
          <w:rFonts w:eastAsia="仿宋"/>
          <w:b/>
          <w:color w:val="000000"/>
          <w:kern w:val="0"/>
          <w:sz w:val="32"/>
          <w:szCs w:val="32"/>
        </w:rPr>
      </w:pPr>
      <w:r>
        <w:rPr>
          <w:rFonts w:eastAsia="仿宋"/>
          <w:b/>
          <w:color w:val="000000"/>
          <w:kern w:val="0"/>
          <w:sz w:val="32"/>
          <w:szCs w:val="32"/>
        </w:rPr>
        <w:t>构建分工明确、协调统一、灵活高效、运作规范的政府猪肉储备调节机制，合理平滑</w:t>
      </w:r>
      <w:r>
        <w:rPr>
          <w:b/>
          <w:color w:val="000000"/>
          <w:kern w:val="0"/>
          <w:sz w:val="32"/>
          <w:szCs w:val="32"/>
        </w:rPr>
        <w:t>“</w:t>
      </w:r>
      <w:r>
        <w:rPr>
          <w:rFonts w:eastAsia="仿宋"/>
          <w:b/>
          <w:color w:val="000000"/>
          <w:kern w:val="0"/>
          <w:sz w:val="32"/>
          <w:szCs w:val="32"/>
        </w:rPr>
        <w:t>猪周期</w:t>
      </w:r>
      <w:r>
        <w:rPr>
          <w:b/>
          <w:color w:val="000000"/>
          <w:kern w:val="0"/>
          <w:sz w:val="32"/>
          <w:szCs w:val="32"/>
        </w:rPr>
        <w:t>”</w:t>
      </w:r>
      <w:r>
        <w:rPr>
          <w:rFonts w:eastAsia="仿宋"/>
          <w:b/>
          <w:color w:val="000000"/>
          <w:kern w:val="0"/>
          <w:sz w:val="32"/>
          <w:szCs w:val="32"/>
        </w:rPr>
        <w:t>波动，有效调控市场异常影响，促进生猪生产相对稳定、猪肉市场有效供给和</w:t>
      </w:r>
      <w:r>
        <w:rPr>
          <w:rFonts w:hint="eastAsia" w:eastAsia="仿宋"/>
          <w:b/>
          <w:color w:val="000000"/>
          <w:kern w:val="0"/>
          <w:sz w:val="32"/>
          <w:szCs w:val="32"/>
        </w:rPr>
        <w:t>保持</w:t>
      </w:r>
      <w:r>
        <w:rPr>
          <w:rFonts w:eastAsia="仿宋"/>
          <w:b/>
          <w:color w:val="000000"/>
          <w:kern w:val="0"/>
          <w:sz w:val="32"/>
          <w:szCs w:val="32"/>
        </w:rPr>
        <w:t>价格总体平稳。</w:t>
      </w:r>
    </w:p>
    <w:p>
      <w:pPr>
        <w:widowControl/>
        <w:shd w:val="clear" w:color="auto" w:fill="FFFFFF"/>
        <w:spacing w:line="560" w:lineRule="exact"/>
        <w:ind w:firstLine="640"/>
        <w:rPr>
          <w:rFonts w:eastAsia="黑体"/>
          <w:b/>
          <w:color w:val="000000"/>
          <w:kern w:val="0"/>
          <w:sz w:val="32"/>
          <w:szCs w:val="32"/>
        </w:rPr>
      </w:pPr>
      <w:r>
        <w:rPr>
          <w:rFonts w:eastAsia="黑体"/>
          <w:b/>
          <w:color w:val="000000"/>
          <w:kern w:val="0"/>
          <w:sz w:val="32"/>
          <w:szCs w:val="32"/>
        </w:rPr>
        <w:t>二、基本原则</w:t>
      </w:r>
    </w:p>
    <w:p>
      <w:pPr>
        <w:widowControl/>
        <w:shd w:val="clear" w:color="auto" w:fill="FFFFFF"/>
        <w:spacing w:line="560" w:lineRule="exact"/>
        <w:ind w:firstLine="641"/>
        <w:rPr>
          <w:rFonts w:hint="eastAsia" w:eastAsia="仿宋"/>
          <w:b/>
          <w:color w:val="000000"/>
          <w:kern w:val="0"/>
          <w:sz w:val="32"/>
          <w:szCs w:val="32"/>
        </w:rPr>
      </w:pPr>
      <w:r>
        <w:rPr>
          <w:rFonts w:eastAsia="楷体"/>
          <w:b/>
          <w:color w:val="000000"/>
          <w:kern w:val="0"/>
          <w:sz w:val="32"/>
          <w:szCs w:val="32"/>
        </w:rPr>
        <w:t>（一）协同联动。</w:t>
      </w:r>
      <w:r>
        <w:rPr>
          <w:rFonts w:eastAsia="仿宋"/>
          <w:b/>
          <w:color w:val="000000"/>
          <w:kern w:val="0"/>
          <w:sz w:val="32"/>
          <w:szCs w:val="32"/>
        </w:rPr>
        <w:t>加强市县（市、区）之间、部门之间、政企之间等协同联动，认真落实</w:t>
      </w:r>
      <w:r>
        <w:rPr>
          <w:b/>
          <w:color w:val="000000"/>
          <w:kern w:val="0"/>
          <w:sz w:val="32"/>
          <w:szCs w:val="32"/>
        </w:rPr>
        <w:t>“</w:t>
      </w:r>
      <w:r>
        <w:rPr>
          <w:rFonts w:eastAsia="仿宋"/>
          <w:b/>
          <w:color w:val="000000"/>
          <w:kern w:val="0"/>
          <w:sz w:val="32"/>
          <w:szCs w:val="32"/>
        </w:rPr>
        <w:t>菜篮子”市长、县（市、区）长负责制，强化组织保障，健全工作机制，提升执行效率，形成政策合力。</w:t>
      </w:r>
    </w:p>
    <w:p>
      <w:pPr>
        <w:widowControl/>
        <w:shd w:val="clear" w:color="auto" w:fill="FFFFFF"/>
        <w:spacing w:line="520" w:lineRule="exact"/>
        <w:ind w:firstLine="641"/>
        <w:rPr>
          <w:rFonts w:eastAsia="仿宋"/>
          <w:b/>
          <w:color w:val="000000"/>
          <w:kern w:val="0"/>
          <w:sz w:val="32"/>
          <w:szCs w:val="32"/>
        </w:rPr>
      </w:pPr>
      <w:r>
        <w:rPr>
          <w:rFonts w:eastAsia="楷体"/>
          <w:b/>
          <w:color w:val="000000"/>
          <w:kern w:val="0"/>
          <w:sz w:val="32"/>
          <w:szCs w:val="32"/>
        </w:rPr>
        <w:t>（二）平急兼顾。</w:t>
      </w:r>
      <w:r>
        <w:rPr>
          <w:rFonts w:eastAsia="仿宋"/>
          <w:b/>
          <w:color w:val="000000"/>
          <w:kern w:val="0"/>
          <w:sz w:val="32"/>
          <w:szCs w:val="32"/>
        </w:rPr>
        <w:t>强化政府猪肉储备平时调节和应急调控功能，合理设置常规储备和临时储备规模，创新储备调节方式，平时灵活调节市场周期波动，急时快速有效满足应急调控需要。</w:t>
      </w:r>
    </w:p>
    <w:p>
      <w:pPr>
        <w:widowControl/>
        <w:shd w:val="clear" w:color="auto" w:fill="FFFFFF"/>
        <w:spacing w:line="540" w:lineRule="exact"/>
        <w:ind w:firstLine="640"/>
        <w:rPr>
          <w:b/>
          <w:color w:val="000000"/>
          <w:kern w:val="0"/>
          <w:szCs w:val="21"/>
        </w:rPr>
      </w:pPr>
      <w:r>
        <w:rPr>
          <w:rFonts w:eastAsia="楷体"/>
          <w:b/>
          <w:color w:val="000000"/>
          <w:kern w:val="0"/>
          <w:sz w:val="32"/>
          <w:szCs w:val="32"/>
        </w:rPr>
        <w:t>（三）精准高效。</w:t>
      </w:r>
      <w:r>
        <w:rPr>
          <w:rFonts w:eastAsia="仿宋"/>
          <w:b/>
          <w:color w:val="000000"/>
          <w:kern w:val="0"/>
          <w:sz w:val="32"/>
          <w:szCs w:val="32"/>
        </w:rPr>
        <w:t>科学选择监测预警指标，不断丰富完善逆周期调控手段，注重预调早调微调，提升储备调节能力，合理把握时机、节奏和力度，不断提升政策效能。</w:t>
      </w:r>
    </w:p>
    <w:p>
      <w:pPr>
        <w:widowControl/>
        <w:shd w:val="clear" w:color="auto" w:fill="FFFFFF"/>
        <w:spacing w:line="540" w:lineRule="exact"/>
        <w:ind w:firstLine="640"/>
        <w:rPr>
          <w:rFonts w:eastAsia="仿宋"/>
          <w:b/>
          <w:color w:val="000000"/>
          <w:kern w:val="0"/>
          <w:sz w:val="32"/>
          <w:szCs w:val="32"/>
        </w:rPr>
      </w:pPr>
      <w:r>
        <w:rPr>
          <w:rFonts w:eastAsia="楷体"/>
          <w:b/>
          <w:color w:val="000000"/>
          <w:kern w:val="0"/>
          <w:sz w:val="32"/>
          <w:szCs w:val="32"/>
        </w:rPr>
        <w:t>（四）目标导向。</w:t>
      </w:r>
      <w:r>
        <w:rPr>
          <w:rFonts w:eastAsia="仿宋"/>
          <w:b/>
          <w:color w:val="000000"/>
          <w:kern w:val="0"/>
          <w:sz w:val="32"/>
          <w:szCs w:val="32"/>
        </w:rPr>
        <w:t>充分发挥市场在资源配置中的决定性作用，更好发挥政府作用，统筹兼顾生产与消费、猪肉与替代品、当前与长远，围绕储备调节目标，不断优化机制设计和操作执行。</w:t>
      </w:r>
    </w:p>
    <w:p>
      <w:pPr>
        <w:widowControl/>
        <w:shd w:val="clear" w:color="auto" w:fill="FFFFFF"/>
        <w:spacing w:line="540" w:lineRule="exact"/>
        <w:ind w:firstLine="640"/>
        <w:rPr>
          <w:rFonts w:eastAsia="黑体"/>
          <w:b/>
          <w:color w:val="000000"/>
          <w:kern w:val="0"/>
          <w:sz w:val="32"/>
          <w:szCs w:val="32"/>
        </w:rPr>
      </w:pPr>
      <w:r>
        <w:rPr>
          <w:rFonts w:eastAsia="黑体"/>
          <w:b/>
          <w:color w:val="000000"/>
          <w:kern w:val="0"/>
          <w:sz w:val="32"/>
          <w:szCs w:val="32"/>
        </w:rPr>
        <w:t>三、监测预警</w:t>
      </w:r>
    </w:p>
    <w:p>
      <w:pPr>
        <w:widowControl/>
        <w:shd w:val="clear" w:color="auto" w:fill="FFFFFF"/>
        <w:spacing w:line="540" w:lineRule="exact"/>
        <w:ind w:firstLine="640"/>
        <w:rPr>
          <w:rFonts w:eastAsia="仿宋"/>
          <w:b/>
          <w:color w:val="000000"/>
          <w:kern w:val="0"/>
          <w:sz w:val="32"/>
          <w:szCs w:val="32"/>
        </w:rPr>
      </w:pPr>
      <w:r>
        <w:rPr>
          <w:rFonts w:eastAsia="仿宋"/>
          <w:b/>
          <w:color w:val="000000"/>
          <w:kern w:val="0"/>
          <w:sz w:val="32"/>
          <w:szCs w:val="32"/>
        </w:rPr>
        <w:t>完善生猪行业和猪肉市场监测预警机制，增强科学性和预见性，为发挥政府猪肉储备调节和市场引导作用提供基础支撑。</w:t>
      </w:r>
    </w:p>
    <w:p>
      <w:pPr>
        <w:widowControl/>
        <w:shd w:val="clear" w:color="auto" w:fill="FFFFFF"/>
        <w:spacing w:line="540" w:lineRule="exact"/>
        <w:ind w:firstLine="640"/>
        <w:rPr>
          <w:b/>
          <w:color w:val="000000"/>
          <w:kern w:val="0"/>
          <w:szCs w:val="21"/>
        </w:rPr>
      </w:pPr>
      <w:r>
        <w:rPr>
          <w:rFonts w:eastAsia="楷体"/>
          <w:b/>
          <w:color w:val="000000"/>
          <w:kern w:val="0"/>
          <w:sz w:val="32"/>
          <w:szCs w:val="32"/>
        </w:rPr>
        <w:t>（一）监测分析。</w:t>
      </w:r>
      <w:r>
        <w:rPr>
          <w:rFonts w:eastAsia="仿宋"/>
          <w:b/>
          <w:color w:val="000000"/>
          <w:kern w:val="0"/>
          <w:sz w:val="32"/>
          <w:szCs w:val="32"/>
        </w:rPr>
        <w:t>强化监测体系建设，完善多维度、智能化的监测分析系统，提升准确性和实效性。统筹考虑生猪产业关键环节及繁育周期，完善监测预警指标体系，重点跟踪分析猪粮比价、能繁母猪存栏量变化率、精瘦肉平均零售价格等指标变化情况。其中，猪粮比价采用市发展改革委监测统计的每周全市平均生猪出场价格与批发市场二等玉米平均批发价格的比值，对应生猪生产盈亏平衡点的猪粮比价约为7</w:t>
      </w:r>
      <w:r>
        <w:rPr>
          <w:rFonts w:hint="eastAsia" w:ascii="宋体" w:hAnsi="宋体" w:cs="宋体"/>
          <w:b/>
          <w:color w:val="000000"/>
          <w:kern w:val="0"/>
          <w:sz w:val="32"/>
          <w:szCs w:val="32"/>
        </w:rPr>
        <w:t>∶</w:t>
      </w:r>
      <w:r>
        <w:rPr>
          <w:rFonts w:eastAsia="仿宋"/>
          <w:b/>
          <w:color w:val="000000"/>
          <w:kern w:val="0"/>
          <w:sz w:val="32"/>
          <w:szCs w:val="32"/>
        </w:rPr>
        <w:t>1；能繁母猪存栏量变化率，采用市农业农村局定点监测的规模猪场月度同比及环比变化率数据；精瘦肉（主要指去皮去骨去油脂的纯瘦肉）平均零售价格采用市发展改革委监测的每周主要超市、集贸市场精瘦肉平均零售价格。按照国省有关工作要求，适时将生猪养殖成本收益指数纳入监测预警指标体系。</w:t>
      </w:r>
    </w:p>
    <w:p>
      <w:pPr>
        <w:widowControl/>
        <w:shd w:val="clear" w:color="auto" w:fill="FFFFFF"/>
        <w:spacing w:line="540" w:lineRule="exact"/>
        <w:ind w:firstLine="640"/>
        <w:rPr>
          <w:b/>
          <w:color w:val="000000"/>
          <w:kern w:val="0"/>
          <w:szCs w:val="21"/>
        </w:rPr>
      </w:pPr>
      <w:r>
        <w:rPr>
          <w:rFonts w:eastAsia="楷体"/>
          <w:b/>
          <w:color w:val="000000"/>
          <w:kern w:val="0"/>
          <w:sz w:val="32"/>
          <w:szCs w:val="32"/>
        </w:rPr>
        <w:t>（二）信息发布。</w:t>
      </w:r>
      <w:r>
        <w:rPr>
          <w:rFonts w:eastAsia="仿宋"/>
          <w:b/>
          <w:color w:val="000000"/>
          <w:kern w:val="0"/>
          <w:sz w:val="32"/>
          <w:szCs w:val="32"/>
        </w:rPr>
        <w:t>市发展改革委在门户网站发布每</w:t>
      </w:r>
      <w:r>
        <w:rPr>
          <w:rFonts w:hint="eastAsia" w:eastAsia="仿宋"/>
          <w:b/>
          <w:color w:val="000000"/>
          <w:kern w:val="0"/>
          <w:sz w:val="32"/>
          <w:szCs w:val="32"/>
        </w:rPr>
        <w:t>周</w:t>
      </w:r>
      <w:r>
        <w:rPr>
          <w:rFonts w:eastAsia="仿宋"/>
          <w:b/>
          <w:color w:val="000000"/>
          <w:kern w:val="0"/>
          <w:sz w:val="32"/>
          <w:szCs w:val="32"/>
        </w:rPr>
        <w:t>生猪出场价格、仔猪价格、猪粮比价等信息；国家统计局南充调查队定期发布生猪存栏出栏、能繁母猪存栏、猪肉产量等信息；各有关部门根据职能职责及时发布涉猪政策等信息，引导市场主体自主调节生产经营决策，主动适应市场形势变化。进一步建立完善信息数据共享机制，发改、财政、农业农村、商务、统计、自然资源和规划、银保监等部门定期互通有关涉猪量价、政策、用地、疫情等信息，为生猪猪肉市场价格走势分析研判奠定坚实基础。</w:t>
      </w:r>
    </w:p>
    <w:p>
      <w:pPr>
        <w:widowControl/>
        <w:shd w:val="clear" w:color="auto" w:fill="FFFFFF"/>
        <w:spacing w:line="540" w:lineRule="exact"/>
        <w:ind w:firstLine="640"/>
        <w:rPr>
          <w:rFonts w:eastAsia="仿宋"/>
          <w:b/>
          <w:color w:val="000000"/>
          <w:kern w:val="0"/>
          <w:sz w:val="32"/>
          <w:szCs w:val="32"/>
        </w:rPr>
      </w:pPr>
      <w:r>
        <w:rPr>
          <w:rFonts w:eastAsia="楷体"/>
          <w:b/>
          <w:color w:val="000000"/>
          <w:kern w:val="0"/>
          <w:sz w:val="32"/>
          <w:szCs w:val="32"/>
        </w:rPr>
        <w:t>（三）预警机制。</w:t>
      </w:r>
      <w:r>
        <w:rPr>
          <w:rFonts w:eastAsia="仿宋"/>
          <w:b/>
          <w:color w:val="000000"/>
          <w:kern w:val="0"/>
          <w:sz w:val="32"/>
          <w:szCs w:val="32"/>
        </w:rPr>
        <w:t>市发展改革委会同相关部门及时会商，确认预警级别和预警信息口径，在门户网站发布预警信息，引导养殖户平稳有序减栏或扩产，避免恐慌性集中出栏或非理性过度补栏，防止生产供应和价格大起大落。参照省级层面做法将猪粮比价、能繁母猪存栏量变化率、精瘦肉平均零售价格作为预警指标，任一指标达到设定条件即视为进入对应的预警区间和级别（详见下表）。</w:t>
      </w:r>
    </w:p>
    <w:tbl>
      <w:tblPr>
        <w:tblStyle w:val="3"/>
        <w:tblW w:w="9032" w:type="dxa"/>
        <w:jc w:val="center"/>
        <w:tblLayout w:type="autofit"/>
        <w:tblCellMar>
          <w:top w:w="0" w:type="dxa"/>
          <w:left w:w="0" w:type="dxa"/>
          <w:bottom w:w="0" w:type="dxa"/>
          <w:right w:w="0" w:type="dxa"/>
        </w:tblCellMar>
      </w:tblPr>
      <w:tblGrid>
        <w:gridCol w:w="1279"/>
        <w:gridCol w:w="1635"/>
        <w:gridCol w:w="3129"/>
        <w:gridCol w:w="1735"/>
        <w:gridCol w:w="1254"/>
      </w:tblGrid>
      <w:tr>
        <w:tblPrEx>
          <w:tblCellMar>
            <w:top w:w="0" w:type="dxa"/>
            <w:left w:w="0" w:type="dxa"/>
            <w:bottom w:w="0" w:type="dxa"/>
            <w:right w:w="0" w:type="dxa"/>
          </w:tblCellMar>
        </w:tblPrEx>
        <w:trPr>
          <w:trHeight w:val="215" w:hRule="atLeast"/>
          <w:jc w:val="center"/>
        </w:trPr>
        <w:tc>
          <w:tcPr>
            <w:tcW w:w="1279"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300" w:lineRule="exact"/>
              <w:jc w:val="center"/>
              <w:rPr>
                <w:b/>
                <w:kern w:val="0"/>
                <w:szCs w:val="21"/>
              </w:rPr>
            </w:pPr>
            <w:r>
              <w:rPr>
                <w:rFonts w:eastAsia="黑体"/>
                <w:b/>
                <w:kern w:val="0"/>
                <w:szCs w:val="21"/>
              </w:rPr>
              <w:t>预警</w:t>
            </w:r>
          </w:p>
          <w:p>
            <w:pPr>
              <w:widowControl/>
              <w:spacing w:line="300" w:lineRule="exact"/>
              <w:jc w:val="center"/>
              <w:rPr>
                <w:b/>
                <w:kern w:val="0"/>
                <w:szCs w:val="21"/>
              </w:rPr>
            </w:pPr>
            <w:r>
              <w:rPr>
                <w:rFonts w:eastAsia="黑体"/>
                <w:b/>
                <w:kern w:val="0"/>
                <w:szCs w:val="21"/>
              </w:rPr>
              <w:t>区间</w:t>
            </w:r>
          </w:p>
        </w:tc>
        <w:tc>
          <w:tcPr>
            <w:tcW w:w="6499" w:type="dxa"/>
            <w:gridSpan w:val="3"/>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300" w:lineRule="exact"/>
              <w:jc w:val="center"/>
              <w:rPr>
                <w:b/>
                <w:kern w:val="0"/>
                <w:szCs w:val="21"/>
              </w:rPr>
            </w:pPr>
            <w:r>
              <w:rPr>
                <w:rFonts w:eastAsia="黑体"/>
                <w:b/>
                <w:kern w:val="0"/>
                <w:szCs w:val="21"/>
              </w:rPr>
              <w:t>预警指标</w:t>
            </w:r>
          </w:p>
        </w:tc>
        <w:tc>
          <w:tcPr>
            <w:tcW w:w="1254" w:type="dxa"/>
            <w:vMerge w:val="restar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300" w:lineRule="exact"/>
              <w:jc w:val="center"/>
              <w:rPr>
                <w:b/>
                <w:kern w:val="0"/>
                <w:szCs w:val="21"/>
              </w:rPr>
            </w:pPr>
            <w:r>
              <w:rPr>
                <w:rFonts w:eastAsia="黑体"/>
                <w:b/>
                <w:kern w:val="0"/>
                <w:szCs w:val="21"/>
              </w:rPr>
              <w:t>预警级别</w:t>
            </w:r>
          </w:p>
        </w:tc>
      </w:tr>
      <w:tr>
        <w:tblPrEx>
          <w:tblCellMar>
            <w:top w:w="0" w:type="dxa"/>
            <w:left w:w="0" w:type="dxa"/>
            <w:bottom w:w="0" w:type="dxa"/>
            <w:right w:w="0" w:type="dxa"/>
          </w:tblCellMar>
        </w:tblPrEx>
        <w:trPr>
          <w:trHeight w:val="461"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00" w:lineRule="exact"/>
              <w:jc w:val="center"/>
              <w:rPr>
                <w:b/>
                <w:kern w:val="0"/>
                <w:szCs w:val="21"/>
              </w:rPr>
            </w:pPr>
          </w:p>
        </w:tc>
        <w:tc>
          <w:tcPr>
            <w:tcW w:w="1635"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300" w:lineRule="exact"/>
              <w:jc w:val="center"/>
              <w:rPr>
                <w:b/>
                <w:kern w:val="0"/>
                <w:szCs w:val="21"/>
              </w:rPr>
            </w:pPr>
            <w:r>
              <w:rPr>
                <w:rFonts w:eastAsia="黑体"/>
                <w:b/>
                <w:kern w:val="0"/>
                <w:szCs w:val="21"/>
              </w:rPr>
              <w:t>猪粮比</w:t>
            </w:r>
          </w:p>
        </w:tc>
        <w:tc>
          <w:tcPr>
            <w:tcW w:w="312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300" w:lineRule="exact"/>
              <w:jc w:val="center"/>
              <w:rPr>
                <w:b/>
                <w:kern w:val="0"/>
                <w:szCs w:val="21"/>
              </w:rPr>
            </w:pPr>
            <w:r>
              <w:rPr>
                <w:rFonts w:eastAsia="黑体"/>
                <w:b/>
                <w:kern w:val="0"/>
                <w:szCs w:val="21"/>
              </w:rPr>
              <w:t>能繁母猪存栏量</w:t>
            </w:r>
          </w:p>
        </w:tc>
        <w:tc>
          <w:tcPr>
            <w:tcW w:w="1735"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300" w:lineRule="exact"/>
              <w:jc w:val="center"/>
              <w:rPr>
                <w:rFonts w:eastAsia="黑体"/>
                <w:b/>
                <w:kern w:val="0"/>
                <w:szCs w:val="21"/>
              </w:rPr>
            </w:pPr>
            <w:r>
              <w:rPr>
                <w:rFonts w:eastAsia="黑体"/>
                <w:b/>
                <w:kern w:val="0"/>
                <w:szCs w:val="21"/>
              </w:rPr>
              <w:t>精瘦肉</w:t>
            </w:r>
          </w:p>
          <w:p>
            <w:pPr>
              <w:widowControl/>
              <w:spacing w:line="300" w:lineRule="exact"/>
              <w:jc w:val="center"/>
              <w:rPr>
                <w:b/>
                <w:kern w:val="0"/>
                <w:szCs w:val="21"/>
              </w:rPr>
            </w:pPr>
            <w:r>
              <w:rPr>
                <w:rFonts w:eastAsia="黑体"/>
                <w:b/>
                <w:kern w:val="0"/>
                <w:szCs w:val="21"/>
              </w:rPr>
              <w:t>零售价格</w:t>
            </w:r>
          </w:p>
        </w:tc>
        <w:tc>
          <w:tcPr>
            <w:tcW w:w="1254" w:type="dxa"/>
            <w:vMerge w:val="continue"/>
            <w:tcBorders>
              <w:top w:val="single" w:color="auto" w:sz="8" w:space="0"/>
              <w:left w:val="nil"/>
              <w:bottom w:val="single" w:color="auto" w:sz="8" w:space="0"/>
              <w:right w:val="single" w:color="auto" w:sz="8" w:space="0"/>
            </w:tcBorders>
            <w:shd w:val="clear" w:color="auto" w:fill="auto"/>
            <w:noWrap w:val="0"/>
            <w:vAlign w:val="center"/>
          </w:tcPr>
          <w:p>
            <w:pPr>
              <w:widowControl/>
              <w:spacing w:line="300" w:lineRule="exact"/>
              <w:jc w:val="center"/>
              <w:rPr>
                <w:b/>
                <w:kern w:val="0"/>
                <w:szCs w:val="21"/>
              </w:rPr>
            </w:pPr>
          </w:p>
        </w:tc>
      </w:tr>
      <w:tr>
        <w:tblPrEx>
          <w:tblCellMar>
            <w:top w:w="0" w:type="dxa"/>
            <w:left w:w="0" w:type="dxa"/>
            <w:bottom w:w="0" w:type="dxa"/>
            <w:right w:w="0" w:type="dxa"/>
          </w:tblCellMar>
        </w:tblPrEx>
        <w:trPr>
          <w:trHeight w:val="357" w:hRule="atLeast"/>
          <w:jc w:val="center"/>
        </w:trPr>
        <w:tc>
          <w:tcPr>
            <w:tcW w:w="1279" w:type="dxa"/>
            <w:vMerge w:val="restar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300" w:lineRule="exact"/>
              <w:jc w:val="center"/>
              <w:rPr>
                <w:b/>
                <w:kern w:val="0"/>
                <w:szCs w:val="21"/>
              </w:rPr>
            </w:pPr>
            <w:r>
              <w:rPr>
                <w:rFonts w:eastAsia="仿宋"/>
                <w:b/>
                <w:kern w:val="0"/>
                <w:szCs w:val="21"/>
              </w:rPr>
              <w:t>过度下跌情形</w:t>
            </w:r>
          </w:p>
        </w:tc>
        <w:tc>
          <w:tcPr>
            <w:tcW w:w="1635"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300" w:lineRule="exact"/>
              <w:jc w:val="center"/>
              <w:rPr>
                <w:b/>
                <w:kern w:val="0"/>
                <w:szCs w:val="21"/>
              </w:rPr>
            </w:pPr>
            <w:r>
              <w:rPr>
                <w:rFonts w:eastAsia="仿宋"/>
                <w:b/>
                <w:kern w:val="0"/>
                <w:szCs w:val="21"/>
              </w:rPr>
              <w:t>＜</w:t>
            </w:r>
            <w:r>
              <w:rPr>
                <w:b/>
                <w:kern w:val="0"/>
                <w:szCs w:val="21"/>
              </w:rPr>
              <w:t>6:1</w:t>
            </w:r>
          </w:p>
        </w:tc>
        <w:tc>
          <w:tcPr>
            <w:tcW w:w="312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300" w:lineRule="exact"/>
              <w:jc w:val="center"/>
              <w:rPr>
                <w:b/>
                <w:kern w:val="0"/>
                <w:szCs w:val="21"/>
              </w:rPr>
            </w:pPr>
          </w:p>
        </w:tc>
        <w:tc>
          <w:tcPr>
            <w:tcW w:w="1735"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300" w:lineRule="exact"/>
              <w:jc w:val="center"/>
              <w:rPr>
                <w:b/>
                <w:kern w:val="0"/>
                <w:szCs w:val="21"/>
              </w:rPr>
            </w:pPr>
          </w:p>
        </w:tc>
        <w:tc>
          <w:tcPr>
            <w:tcW w:w="1254"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300" w:lineRule="exact"/>
              <w:jc w:val="center"/>
              <w:rPr>
                <w:b/>
                <w:kern w:val="0"/>
                <w:szCs w:val="21"/>
              </w:rPr>
            </w:pPr>
            <w:r>
              <w:rPr>
                <w:rFonts w:eastAsia="仿宋"/>
                <w:b/>
                <w:kern w:val="0"/>
                <w:szCs w:val="21"/>
              </w:rPr>
              <w:t>三级预警</w:t>
            </w:r>
          </w:p>
        </w:tc>
      </w:tr>
      <w:tr>
        <w:tblPrEx>
          <w:tblCellMar>
            <w:top w:w="0" w:type="dxa"/>
            <w:left w:w="0" w:type="dxa"/>
            <w:bottom w:w="0" w:type="dxa"/>
            <w:right w:w="0" w:type="dxa"/>
          </w:tblCellMar>
        </w:tblPrEx>
        <w:trPr>
          <w:trHeight w:val="127"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spacing w:line="300" w:lineRule="exact"/>
              <w:jc w:val="center"/>
              <w:rPr>
                <w:b/>
                <w:kern w:val="0"/>
                <w:szCs w:val="21"/>
              </w:rPr>
            </w:pPr>
          </w:p>
        </w:tc>
        <w:tc>
          <w:tcPr>
            <w:tcW w:w="1635"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300" w:lineRule="exact"/>
              <w:jc w:val="center"/>
              <w:rPr>
                <w:b/>
                <w:kern w:val="0"/>
                <w:szCs w:val="21"/>
              </w:rPr>
            </w:pPr>
            <w:r>
              <w:rPr>
                <w:rFonts w:eastAsia="仿宋"/>
                <w:b/>
                <w:kern w:val="0"/>
                <w:szCs w:val="21"/>
              </w:rPr>
              <w:t>连续</w:t>
            </w:r>
            <w:r>
              <w:rPr>
                <w:b/>
                <w:kern w:val="0"/>
                <w:szCs w:val="21"/>
              </w:rPr>
              <w:t>3</w:t>
            </w:r>
            <w:r>
              <w:rPr>
                <w:rFonts w:eastAsia="仿宋"/>
                <w:b/>
                <w:kern w:val="0"/>
                <w:szCs w:val="21"/>
              </w:rPr>
              <w:t>周处于</w:t>
            </w:r>
            <w:r>
              <w:rPr>
                <w:b/>
                <w:kern w:val="0"/>
                <w:szCs w:val="21"/>
              </w:rPr>
              <w:t>5:1~6:1</w:t>
            </w:r>
          </w:p>
        </w:tc>
        <w:tc>
          <w:tcPr>
            <w:tcW w:w="312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300" w:lineRule="exact"/>
              <w:jc w:val="center"/>
              <w:rPr>
                <w:b/>
                <w:kern w:val="0"/>
                <w:szCs w:val="21"/>
              </w:rPr>
            </w:pPr>
            <w:r>
              <w:rPr>
                <w:rFonts w:eastAsia="仿宋"/>
                <w:b/>
                <w:kern w:val="0"/>
                <w:szCs w:val="21"/>
              </w:rPr>
              <w:t>单月同比降幅达</w:t>
            </w:r>
            <w:r>
              <w:rPr>
                <w:b/>
                <w:kern w:val="0"/>
                <w:szCs w:val="21"/>
              </w:rPr>
              <w:t>5%</w:t>
            </w:r>
            <w:r>
              <w:rPr>
                <w:rFonts w:eastAsia="仿宋"/>
                <w:b/>
                <w:kern w:val="0"/>
                <w:szCs w:val="21"/>
              </w:rPr>
              <w:t>，或连续</w:t>
            </w:r>
            <w:r>
              <w:rPr>
                <w:b/>
                <w:kern w:val="0"/>
                <w:szCs w:val="21"/>
              </w:rPr>
              <w:t>3</w:t>
            </w:r>
            <w:r>
              <w:rPr>
                <w:rFonts w:eastAsia="仿宋"/>
                <w:b/>
                <w:kern w:val="0"/>
                <w:szCs w:val="21"/>
              </w:rPr>
              <w:t>月累计降幅在</w:t>
            </w:r>
            <w:r>
              <w:rPr>
                <w:b/>
                <w:kern w:val="0"/>
                <w:szCs w:val="21"/>
              </w:rPr>
              <w:t>5%~10%</w:t>
            </w:r>
          </w:p>
        </w:tc>
        <w:tc>
          <w:tcPr>
            <w:tcW w:w="1735"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300" w:lineRule="exact"/>
              <w:jc w:val="center"/>
              <w:rPr>
                <w:b/>
                <w:kern w:val="0"/>
                <w:szCs w:val="21"/>
              </w:rPr>
            </w:pPr>
          </w:p>
        </w:tc>
        <w:tc>
          <w:tcPr>
            <w:tcW w:w="1254"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300" w:lineRule="exact"/>
              <w:jc w:val="center"/>
              <w:rPr>
                <w:b/>
                <w:kern w:val="0"/>
                <w:szCs w:val="21"/>
              </w:rPr>
            </w:pPr>
            <w:r>
              <w:rPr>
                <w:rFonts w:eastAsia="仿宋"/>
                <w:b/>
                <w:kern w:val="0"/>
                <w:szCs w:val="21"/>
              </w:rPr>
              <w:t>二级预警</w:t>
            </w:r>
          </w:p>
        </w:tc>
      </w:tr>
      <w:tr>
        <w:tblPrEx>
          <w:tblCellMar>
            <w:top w:w="0" w:type="dxa"/>
            <w:left w:w="0" w:type="dxa"/>
            <w:bottom w:w="0" w:type="dxa"/>
            <w:right w:w="0" w:type="dxa"/>
          </w:tblCellMar>
        </w:tblPrEx>
        <w:trPr>
          <w:trHeight w:val="127"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spacing w:line="300" w:lineRule="exact"/>
              <w:jc w:val="center"/>
              <w:rPr>
                <w:b/>
                <w:kern w:val="0"/>
                <w:szCs w:val="21"/>
              </w:rPr>
            </w:pPr>
          </w:p>
        </w:tc>
        <w:tc>
          <w:tcPr>
            <w:tcW w:w="1635"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300" w:lineRule="exact"/>
              <w:jc w:val="center"/>
              <w:rPr>
                <w:b/>
                <w:kern w:val="0"/>
                <w:szCs w:val="21"/>
              </w:rPr>
            </w:pPr>
            <w:r>
              <w:rPr>
                <w:rFonts w:eastAsia="仿宋"/>
                <w:b/>
                <w:kern w:val="0"/>
                <w:szCs w:val="21"/>
              </w:rPr>
              <w:t>＜</w:t>
            </w:r>
            <w:r>
              <w:rPr>
                <w:b/>
                <w:kern w:val="0"/>
                <w:szCs w:val="21"/>
              </w:rPr>
              <w:t>5:1</w:t>
            </w:r>
          </w:p>
        </w:tc>
        <w:tc>
          <w:tcPr>
            <w:tcW w:w="312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300" w:lineRule="exact"/>
              <w:jc w:val="center"/>
              <w:rPr>
                <w:b/>
                <w:kern w:val="0"/>
                <w:szCs w:val="21"/>
              </w:rPr>
            </w:pPr>
            <w:r>
              <w:rPr>
                <w:rFonts w:eastAsia="仿宋"/>
                <w:b/>
                <w:kern w:val="0"/>
                <w:szCs w:val="21"/>
              </w:rPr>
              <w:t>单月同比降幅达</w:t>
            </w:r>
            <w:r>
              <w:rPr>
                <w:b/>
                <w:kern w:val="0"/>
                <w:szCs w:val="21"/>
              </w:rPr>
              <w:t>10%</w:t>
            </w:r>
            <w:r>
              <w:rPr>
                <w:rFonts w:eastAsia="仿宋"/>
                <w:b/>
                <w:kern w:val="0"/>
                <w:szCs w:val="21"/>
              </w:rPr>
              <w:t>，或连续</w:t>
            </w:r>
            <w:r>
              <w:rPr>
                <w:b/>
                <w:kern w:val="0"/>
                <w:szCs w:val="21"/>
              </w:rPr>
              <w:t>3</w:t>
            </w:r>
            <w:r>
              <w:rPr>
                <w:rFonts w:eastAsia="仿宋"/>
                <w:b/>
                <w:kern w:val="0"/>
                <w:szCs w:val="21"/>
              </w:rPr>
              <w:t>月累计降幅超过</w:t>
            </w:r>
            <w:r>
              <w:rPr>
                <w:b/>
                <w:kern w:val="0"/>
                <w:szCs w:val="21"/>
              </w:rPr>
              <w:t>10%</w:t>
            </w:r>
          </w:p>
        </w:tc>
        <w:tc>
          <w:tcPr>
            <w:tcW w:w="1735"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300" w:lineRule="exact"/>
              <w:jc w:val="center"/>
              <w:rPr>
                <w:b/>
                <w:kern w:val="0"/>
                <w:szCs w:val="21"/>
              </w:rPr>
            </w:pPr>
          </w:p>
        </w:tc>
        <w:tc>
          <w:tcPr>
            <w:tcW w:w="1254"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300" w:lineRule="exact"/>
              <w:jc w:val="center"/>
              <w:rPr>
                <w:b/>
                <w:kern w:val="0"/>
                <w:szCs w:val="21"/>
              </w:rPr>
            </w:pPr>
            <w:r>
              <w:rPr>
                <w:rFonts w:eastAsia="仿宋"/>
                <w:b/>
                <w:kern w:val="0"/>
                <w:szCs w:val="21"/>
              </w:rPr>
              <w:t>一级预警</w:t>
            </w:r>
          </w:p>
        </w:tc>
      </w:tr>
      <w:tr>
        <w:tblPrEx>
          <w:tblCellMar>
            <w:top w:w="0" w:type="dxa"/>
            <w:left w:w="0" w:type="dxa"/>
            <w:bottom w:w="0" w:type="dxa"/>
            <w:right w:w="0" w:type="dxa"/>
          </w:tblCellMar>
        </w:tblPrEx>
        <w:trPr>
          <w:trHeight w:val="209" w:hRule="atLeast"/>
          <w:jc w:val="center"/>
        </w:trPr>
        <w:tc>
          <w:tcPr>
            <w:tcW w:w="1279" w:type="dxa"/>
            <w:vMerge w:val="restar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300" w:lineRule="exact"/>
              <w:jc w:val="center"/>
              <w:rPr>
                <w:b/>
                <w:kern w:val="0"/>
                <w:szCs w:val="21"/>
              </w:rPr>
            </w:pPr>
            <w:r>
              <w:rPr>
                <w:rFonts w:eastAsia="仿宋"/>
                <w:b/>
                <w:kern w:val="0"/>
                <w:szCs w:val="21"/>
              </w:rPr>
              <w:t>过度上涨情形</w:t>
            </w:r>
          </w:p>
        </w:tc>
        <w:tc>
          <w:tcPr>
            <w:tcW w:w="1635"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300" w:lineRule="exact"/>
              <w:jc w:val="center"/>
              <w:rPr>
                <w:b/>
                <w:kern w:val="0"/>
                <w:szCs w:val="21"/>
              </w:rPr>
            </w:pPr>
            <w:r>
              <w:rPr>
                <w:rFonts w:eastAsia="仿宋"/>
                <w:b/>
                <w:kern w:val="0"/>
                <w:szCs w:val="21"/>
              </w:rPr>
              <w:t>＞</w:t>
            </w:r>
            <w:r>
              <w:rPr>
                <w:b/>
                <w:kern w:val="0"/>
                <w:szCs w:val="21"/>
              </w:rPr>
              <w:t>9:1</w:t>
            </w:r>
          </w:p>
        </w:tc>
        <w:tc>
          <w:tcPr>
            <w:tcW w:w="312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300" w:lineRule="exact"/>
              <w:jc w:val="center"/>
              <w:rPr>
                <w:b/>
                <w:kern w:val="0"/>
                <w:szCs w:val="21"/>
              </w:rPr>
            </w:pPr>
          </w:p>
        </w:tc>
        <w:tc>
          <w:tcPr>
            <w:tcW w:w="1735"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300" w:lineRule="exact"/>
              <w:jc w:val="center"/>
              <w:rPr>
                <w:b/>
                <w:kern w:val="0"/>
                <w:szCs w:val="21"/>
              </w:rPr>
            </w:pPr>
          </w:p>
        </w:tc>
        <w:tc>
          <w:tcPr>
            <w:tcW w:w="1254"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300" w:lineRule="exact"/>
              <w:jc w:val="center"/>
              <w:rPr>
                <w:b/>
                <w:kern w:val="0"/>
                <w:szCs w:val="21"/>
              </w:rPr>
            </w:pPr>
            <w:r>
              <w:rPr>
                <w:rFonts w:eastAsia="仿宋"/>
                <w:b/>
                <w:kern w:val="0"/>
                <w:szCs w:val="21"/>
              </w:rPr>
              <w:t>三级预警</w:t>
            </w:r>
          </w:p>
        </w:tc>
      </w:tr>
      <w:tr>
        <w:tblPrEx>
          <w:tblCellMar>
            <w:top w:w="0" w:type="dxa"/>
            <w:left w:w="0" w:type="dxa"/>
            <w:bottom w:w="0" w:type="dxa"/>
            <w:right w:w="0" w:type="dxa"/>
          </w:tblCellMar>
        </w:tblPrEx>
        <w:trPr>
          <w:trHeight w:val="127"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spacing w:line="300" w:lineRule="exact"/>
              <w:jc w:val="center"/>
              <w:rPr>
                <w:b/>
                <w:kern w:val="0"/>
                <w:szCs w:val="21"/>
              </w:rPr>
            </w:pPr>
          </w:p>
        </w:tc>
        <w:tc>
          <w:tcPr>
            <w:tcW w:w="1635"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300" w:lineRule="exact"/>
              <w:jc w:val="center"/>
              <w:rPr>
                <w:b/>
                <w:kern w:val="0"/>
                <w:szCs w:val="21"/>
              </w:rPr>
            </w:pPr>
            <w:r>
              <w:rPr>
                <w:rFonts w:eastAsia="仿宋"/>
                <w:b/>
                <w:kern w:val="0"/>
                <w:szCs w:val="21"/>
              </w:rPr>
              <w:t>连续</w:t>
            </w:r>
            <w:r>
              <w:rPr>
                <w:b/>
                <w:kern w:val="0"/>
                <w:szCs w:val="21"/>
              </w:rPr>
              <w:t>2</w:t>
            </w:r>
            <w:r>
              <w:rPr>
                <w:rFonts w:eastAsia="仿宋"/>
                <w:b/>
                <w:kern w:val="0"/>
                <w:szCs w:val="21"/>
              </w:rPr>
              <w:t>周处于</w:t>
            </w:r>
            <w:r>
              <w:rPr>
                <w:b/>
                <w:kern w:val="0"/>
                <w:szCs w:val="21"/>
              </w:rPr>
              <w:t>10:1~12:1</w:t>
            </w:r>
          </w:p>
        </w:tc>
        <w:tc>
          <w:tcPr>
            <w:tcW w:w="312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300" w:lineRule="exact"/>
              <w:jc w:val="center"/>
              <w:rPr>
                <w:b/>
                <w:kern w:val="0"/>
                <w:szCs w:val="21"/>
              </w:rPr>
            </w:pPr>
          </w:p>
        </w:tc>
        <w:tc>
          <w:tcPr>
            <w:tcW w:w="1735"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300" w:lineRule="exact"/>
              <w:jc w:val="center"/>
              <w:rPr>
                <w:b/>
                <w:kern w:val="0"/>
                <w:szCs w:val="21"/>
              </w:rPr>
            </w:pPr>
            <w:r>
              <w:rPr>
                <w:rFonts w:eastAsia="仿宋"/>
                <w:b/>
                <w:kern w:val="0"/>
                <w:szCs w:val="21"/>
              </w:rPr>
              <w:t>当周平均价同比涨幅在</w:t>
            </w:r>
            <w:r>
              <w:rPr>
                <w:b/>
                <w:kern w:val="0"/>
                <w:szCs w:val="21"/>
              </w:rPr>
              <w:t>30%~40%</w:t>
            </w:r>
          </w:p>
        </w:tc>
        <w:tc>
          <w:tcPr>
            <w:tcW w:w="1254"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300" w:lineRule="exact"/>
              <w:jc w:val="center"/>
              <w:rPr>
                <w:b/>
                <w:kern w:val="0"/>
                <w:szCs w:val="21"/>
              </w:rPr>
            </w:pPr>
            <w:r>
              <w:rPr>
                <w:rFonts w:eastAsia="仿宋"/>
                <w:b/>
                <w:kern w:val="0"/>
                <w:szCs w:val="21"/>
              </w:rPr>
              <w:t>二级预警</w:t>
            </w:r>
          </w:p>
        </w:tc>
      </w:tr>
      <w:tr>
        <w:tblPrEx>
          <w:tblCellMar>
            <w:top w:w="0" w:type="dxa"/>
            <w:left w:w="0" w:type="dxa"/>
            <w:bottom w:w="0" w:type="dxa"/>
            <w:right w:w="0" w:type="dxa"/>
          </w:tblCellMar>
        </w:tblPrEx>
        <w:trPr>
          <w:trHeight w:val="127"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spacing w:line="300" w:lineRule="exact"/>
              <w:jc w:val="center"/>
              <w:rPr>
                <w:b/>
                <w:kern w:val="0"/>
                <w:szCs w:val="21"/>
              </w:rPr>
            </w:pPr>
          </w:p>
        </w:tc>
        <w:tc>
          <w:tcPr>
            <w:tcW w:w="1635"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300" w:lineRule="exact"/>
              <w:jc w:val="center"/>
              <w:rPr>
                <w:b/>
                <w:kern w:val="0"/>
                <w:szCs w:val="21"/>
              </w:rPr>
            </w:pPr>
            <w:r>
              <w:rPr>
                <w:rFonts w:eastAsia="仿宋"/>
                <w:b/>
                <w:kern w:val="0"/>
                <w:szCs w:val="21"/>
              </w:rPr>
              <w:t>＞</w:t>
            </w:r>
            <w:r>
              <w:rPr>
                <w:b/>
                <w:kern w:val="0"/>
                <w:szCs w:val="21"/>
              </w:rPr>
              <w:t>12:1</w:t>
            </w:r>
          </w:p>
        </w:tc>
        <w:tc>
          <w:tcPr>
            <w:tcW w:w="312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300" w:lineRule="exact"/>
              <w:jc w:val="center"/>
              <w:rPr>
                <w:b/>
                <w:kern w:val="0"/>
                <w:szCs w:val="21"/>
              </w:rPr>
            </w:pPr>
          </w:p>
        </w:tc>
        <w:tc>
          <w:tcPr>
            <w:tcW w:w="1735"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300" w:lineRule="exact"/>
              <w:jc w:val="center"/>
              <w:rPr>
                <w:b/>
                <w:kern w:val="0"/>
                <w:szCs w:val="21"/>
              </w:rPr>
            </w:pPr>
            <w:r>
              <w:rPr>
                <w:rFonts w:eastAsia="仿宋"/>
                <w:b/>
                <w:kern w:val="0"/>
                <w:szCs w:val="21"/>
              </w:rPr>
              <w:t>当周平均价同比涨幅超过</w:t>
            </w:r>
            <w:r>
              <w:rPr>
                <w:b/>
                <w:kern w:val="0"/>
                <w:szCs w:val="21"/>
              </w:rPr>
              <w:t>40%</w:t>
            </w:r>
          </w:p>
        </w:tc>
        <w:tc>
          <w:tcPr>
            <w:tcW w:w="1254"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300" w:lineRule="exact"/>
              <w:jc w:val="center"/>
              <w:rPr>
                <w:b/>
                <w:kern w:val="0"/>
                <w:szCs w:val="21"/>
              </w:rPr>
            </w:pPr>
            <w:r>
              <w:rPr>
                <w:rFonts w:eastAsia="仿宋"/>
                <w:b/>
                <w:kern w:val="0"/>
                <w:szCs w:val="21"/>
              </w:rPr>
              <w:t>一级预警</w:t>
            </w:r>
          </w:p>
        </w:tc>
      </w:tr>
    </w:tbl>
    <w:p>
      <w:pPr>
        <w:widowControl/>
        <w:shd w:val="clear" w:color="auto" w:fill="FFFFFF"/>
        <w:spacing w:line="560" w:lineRule="exact"/>
        <w:ind w:firstLine="640"/>
        <w:rPr>
          <w:b/>
          <w:color w:val="000000"/>
          <w:kern w:val="0"/>
          <w:szCs w:val="21"/>
        </w:rPr>
      </w:pPr>
      <w:r>
        <w:rPr>
          <w:rFonts w:eastAsia="黑体"/>
          <w:b/>
          <w:color w:val="000000"/>
          <w:kern w:val="0"/>
          <w:sz w:val="32"/>
          <w:szCs w:val="32"/>
        </w:rPr>
        <w:t>四、储备调节</w:t>
      </w:r>
    </w:p>
    <w:p>
      <w:pPr>
        <w:widowControl/>
        <w:shd w:val="clear" w:color="auto" w:fill="FFFFFF"/>
        <w:spacing w:line="560" w:lineRule="exact"/>
        <w:ind w:firstLine="640"/>
        <w:rPr>
          <w:rFonts w:eastAsia="仿宋"/>
          <w:b/>
          <w:color w:val="000000"/>
          <w:kern w:val="0"/>
          <w:sz w:val="32"/>
          <w:szCs w:val="32"/>
        </w:rPr>
      </w:pPr>
      <w:r>
        <w:rPr>
          <w:rFonts w:eastAsia="仿宋"/>
          <w:b/>
          <w:color w:val="000000"/>
          <w:kern w:val="0"/>
          <w:sz w:val="32"/>
          <w:szCs w:val="32"/>
        </w:rPr>
        <w:t>根据不同预警情形，市、县（市、区）应及时启动临时储备收储和储备投放等响应措施。</w:t>
      </w:r>
    </w:p>
    <w:p>
      <w:pPr>
        <w:widowControl/>
        <w:shd w:val="clear" w:color="auto" w:fill="FFFFFF"/>
        <w:spacing w:line="560" w:lineRule="exact"/>
        <w:ind w:firstLine="640"/>
        <w:rPr>
          <w:b/>
          <w:color w:val="000000"/>
          <w:kern w:val="0"/>
          <w:szCs w:val="21"/>
        </w:rPr>
      </w:pPr>
      <w:r>
        <w:rPr>
          <w:rFonts w:eastAsia="楷体"/>
          <w:b/>
          <w:color w:val="000000"/>
          <w:kern w:val="0"/>
          <w:sz w:val="32"/>
          <w:szCs w:val="32"/>
        </w:rPr>
        <w:t>（一）常规储备。</w:t>
      </w:r>
      <w:r>
        <w:rPr>
          <w:rFonts w:eastAsia="仿宋"/>
          <w:b/>
          <w:color w:val="000000"/>
          <w:kern w:val="0"/>
          <w:sz w:val="32"/>
          <w:szCs w:val="32"/>
        </w:rPr>
        <w:t>为满足市场调控和应急投放需要，市、县（市、区）政府应分别建立政府猪肉常规储备。常规储备按城镇常住人口每人每天</w:t>
      </w:r>
      <w:r>
        <w:rPr>
          <w:b/>
          <w:color w:val="000000"/>
          <w:kern w:val="0"/>
          <w:sz w:val="32"/>
          <w:szCs w:val="32"/>
        </w:rPr>
        <w:t>2</w:t>
      </w:r>
      <w:r>
        <w:rPr>
          <w:rFonts w:eastAsia="仿宋"/>
          <w:b/>
          <w:color w:val="000000"/>
          <w:kern w:val="0"/>
          <w:sz w:val="32"/>
          <w:szCs w:val="32"/>
        </w:rPr>
        <w:t>两、</w:t>
      </w:r>
      <w:r>
        <w:rPr>
          <w:b/>
          <w:color w:val="000000"/>
          <w:kern w:val="0"/>
          <w:sz w:val="32"/>
          <w:szCs w:val="32"/>
        </w:rPr>
        <w:t>3</w:t>
      </w:r>
      <w:r>
        <w:rPr>
          <w:rFonts w:eastAsia="仿宋"/>
          <w:b/>
          <w:color w:val="000000"/>
          <w:kern w:val="0"/>
          <w:sz w:val="32"/>
          <w:szCs w:val="32"/>
        </w:rPr>
        <w:t>天消费量安排，</w:t>
      </w:r>
      <w:r>
        <w:rPr>
          <w:rFonts w:hint="eastAsia" w:eastAsia="仿宋"/>
          <w:b/>
          <w:color w:val="000000"/>
          <w:kern w:val="0"/>
          <w:sz w:val="32"/>
          <w:szCs w:val="32"/>
        </w:rPr>
        <w:t>确保有一定的储备规模。</w:t>
      </w:r>
      <w:r>
        <w:rPr>
          <w:rFonts w:eastAsia="仿宋"/>
          <w:b/>
          <w:color w:val="000000"/>
          <w:kern w:val="0"/>
          <w:sz w:val="32"/>
          <w:szCs w:val="32"/>
        </w:rPr>
        <w:t>市级政府侧重于发挥保底作用的应急储备，以应对突发自然灾害和重大疫情保障市场供应。常规储备可采用冻猪肉及活体存储等方式，其中冻猪肉存储占比不少于50%，在发生重大动物疫情等特殊情形时要及时提高冻猪肉存储占比。储备管理，按照省市级储备冻猪肉有关办法规定执行。</w:t>
      </w:r>
    </w:p>
    <w:p>
      <w:pPr>
        <w:widowControl/>
        <w:shd w:val="clear" w:color="auto" w:fill="FFFFFF"/>
        <w:spacing w:line="560" w:lineRule="exact"/>
        <w:ind w:firstLine="640"/>
        <w:rPr>
          <w:b/>
          <w:color w:val="000000"/>
          <w:kern w:val="0"/>
          <w:szCs w:val="21"/>
        </w:rPr>
      </w:pPr>
      <w:r>
        <w:rPr>
          <w:rFonts w:eastAsia="楷体"/>
          <w:b/>
          <w:color w:val="000000"/>
          <w:kern w:val="0"/>
          <w:sz w:val="32"/>
          <w:szCs w:val="32"/>
        </w:rPr>
        <w:t>（二）价格过度下跌情形下的储备响应。</w:t>
      </w:r>
      <w:r>
        <w:rPr>
          <w:rFonts w:eastAsia="仿宋"/>
          <w:b/>
          <w:color w:val="000000"/>
          <w:kern w:val="0"/>
          <w:sz w:val="32"/>
          <w:szCs w:val="32"/>
        </w:rPr>
        <w:t>当生猪大范围恐慌性出栏、生猪和猪肉价格大幅下跌时，实施临时储备收储。</w:t>
      </w:r>
    </w:p>
    <w:p>
      <w:pPr>
        <w:widowControl/>
        <w:shd w:val="clear" w:color="auto" w:fill="FFFFFF"/>
        <w:spacing w:line="560" w:lineRule="exact"/>
        <w:ind w:firstLine="640"/>
        <w:rPr>
          <w:rFonts w:eastAsia="仿宋"/>
          <w:b/>
          <w:color w:val="000000"/>
          <w:kern w:val="0"/>
          <w:sz w:val="32"/>
          <w:szCs w:val="32"/>
        </w:rPr>
      </w:pPr>
      <w:r>
        <w:rPr>
          <w:b/>
          <w:color w:val="000000"/>
          <w:kern w:val="0"/>
          <w:sz w:val="32"/>
          <w:szCs w:val="32"/>
        </w:rPr>
        <w:t>1.</w:t>
      </w:r>
      <w:r>
        <w:rPr>
          <w:rFonts w:eastAsia="仿宋"/>
          <w:b/>
          <w:color w:val="000000"/>
          <w:kern w:val="0"/>
          <w:sz w:val="32"/>
          <w:szCs w:val="32"/>
        </w:rPr>
        <w:t>启动条件。过度下跌三级预警发布时暂不启动临时储备收储；二级预警发布时视情启动</w:t>
      </w:r>
      <w:r>
        <w:rPr>
          <w:rFonts w:hint="eastAsia" w:eastAsia="仿宋"/>
          <w:b/>
          <w:color w:val="000000"/>
          <w:kern w:val="0"/>
          <w:sz w:val="32"/>
          <w:szCs w:val="32"/>
        </w:rPr>
        <w:t>，需要启动时，由</w:t>
      </w:r>
      <w:r>
        <w:rPr>
          <w:rFonts w:eastAsia="仿宋"/>
          <w:b/>
          <w:color w:val="000000"/>
          <w:kern w:val="0"/>
          <w:sz w:val="32"/>
          <w:szCs w:val="32"/>
        </w:rPr>
        <w:t>市发展改革委会同市财政局、市农业农村局、市商务局</w:t>
      </w:r>
      <w:r>
        <w:rPr>
          <w:rFonts w:hint="eastAsia" w:eastAsia="仿宋"/>
          <w:b/>
          <w:color w:val="000000"/>
          <w:kern w:val="0"/>
          <w:sz w:val="32"/>
          <w:szCs w:val="32"/>
        </w:rPr>
        <w:t>及时会商，提出临时储备收储计划建议报市政府</w:t>
      </w:r>
      <w:r>
        <w:rPr>
          <w:rFonts w:eastAsia="仿宋"/>
          <w:b/>
          <w:color w:val="000000"/>
          <w:kern w:val="0"/>
          <w:sz w:val="32"/>
          <w:szCs w:val="32"/>
        </w:rPr>
        <w:t>；一级预警发布</w:t>
      </w:r>
      <w:r>
        <w:rPr>
          <w:rFonts w:hint="eastAsia" w:eastAsia="仿宋"/>
          <w:b/>
          <w:color w:val="000000"/>
          <w:kern w:val="0"/>
          <w:sz w:val="32"/>
          <w:szCs w:val="32"/>
        </w:rPr>
        <w:t>或国家非洲猪瘟疫情分区防控机制划定的西南区域内任一省（自治区、直辖市）</w:t>
      </w:r>
      <w:r>
        <w:rPr>
          <w:rFonts w:eastAsia="仿宋"/>
          <w:b/>
          <w:color w:val="000000"/>
          <w:kern w:val="0"/>
          <w:sz w:val="32"/>
          <w:szCs w:val="32"/>
        </w:rPr>
        <w:t>启动临时储备收储</w:t>
      </w:r>
      <w:r>
        <w:rPr>
          <w:rFonts w:hint="eastAsia" w:eastAsia="仿宋"/>
          <w:b/>
          <w:color w:val="000000"/>
          <w:kern w:val="0"/>
          <w:sz w:val="32"/>
          <w:szCs w:val="32"/>
        </w:rPr>
        <w:t>时启动临时储备收储</w:t>
      </w:r>
      <w:r>
        <w:rPr>
          <w:rFonts w:eastAsia="仿宋"/>
          <w:b/>
          <w:color w:val="000000"/>
          <w:kern w:val="0"/>
          <w:sz w:val="32"/>
          <w:szCs w:val="32"/>
        </w:rPr>
        <w:t>，由市发展改革委牵头会商，提出启动临时储备收储计划建议（包括品种、数量、时机等），报市政府批准后，由市商务局牵头组织实施。</w:t>
      </w:r>
    </w:p>
    <w:p>
      <w:pPr>
        <w:widowControl/>
        <w:shd w:val="clear" w:color="auto" w:fill="FFFFFF"/>
        <w:spacing w:line="560" w:lineRule="exact"/>
        <w:ind w:firstLine="640"/>
        <w:rPr>
          <w:rFonts w:eastAsia="仿宋"/>
          <w:b/>
          <w:color w:val="000000"/>
          <w:kern w:val="0"/>
          <w:sz w:val="32"/>
          <w:szCs w:val="32"/>
        </w:rPr>
      </w:pPr>
      <w:r>
        <w:rPr>
          <w:b/>
          <w:color w:val="000000"/>
          <w:kern w:val="0"/>
          <w:sz w:val="32"/>
          <w:szCs w:val="32"/>
        </w:rPr>
        <w:t>2.</w:t>
      </w:r>
      <w:r>
        <w:rPr>
          <w:rFonts w:eastAsia="仿宋"/>
          <w:b/>
          <w:color w:val="000000"/>
          <w:kern w:val="0"/>
          <w:sz w:val="32"/>
          <w:szCs w:val="32"/>
        </w:rPr>
        <w:t>收储规模。市级临时储备规模由市发展改革委会同市财政局、市农业农村局、市商务局提出建议报市政府批准。</w:t>
      </w:r>
    </w:p>
    <w:p>
      <w:pPr>
        <w:widowControl/>
        <w:shd w:val="clear" w:color="auto" w:fill="FFFFFF"/>
        <w:spacing w:line="560" w:lineRule="exact"/>
        <w:ind w:firstLine="640"/>
        <w:rPr>
          <w:rFonts w:eastAsia="仿宋"/>
          <w:b/>
          <w:color w:val="000000"/>
          <w:kern w:val="0"/>
          <w:sz w:val="32"/>
          <w:szCs w:val="32"/>
        </w:rPr>
      </w:pPr>
      <w:r>
        <w:rPr>
          <w:rFonts w:eastAsia="楷体"/>
          <w:b/>
          <w:color w:val="000000"/>
          <w:kern w:val="0"/>
          <w:sz w:val="32"/>
          <w:szCs w:val="32"/>
        </w:rPr>
        <w:t>（三）价格过度上涨情形下的储备响应。</w:t>
      </w:r>
      <w:r>
        <w:rPr>
          <w:rFonts w:eastAsia="仿宋"/>
          <w:b/>
          <w:color w:val="000000"/>
          <w:kern w:val="0"/>
          <w:sz w:val="32"/>
          <w:szCs w:val="32"/>
        </w:rPr>
        <w:t>当生猪及猪肉市场供应紧张、价格明显上涨时，投放政府储备猪肉，及时增加市场供应，稳定市场价格。</w:t>
      </w:r>
    </w:p>
    <w:p>
      <w:pPr>
        <w:widowControl/>
        <w:shd w:val="clear" w:color="auto" w:fill="FFFFFF"/>
        <w:spacing w:line="560" w:lineRule="exact"/>
        <w:ind w:firstLine="640"/>
        <w:rPr>
          <w:b/>
          <w:color w:val="000000"/>
          <w:kern w:val="0"/>
          <w:szCs w:val="21"/>
        </w:rPr>
      </w:pPr>
      <w:r>
        <w:rPr>
          <w:rFonts w:eastAsia="仿宋"/>
          <w:b/>
          <w:color w:val="000000"/>
          <w:kern w:val="0"/>
          <w:sz w:val="32"/>
          <w:szCs w:val="32"/>
        </w:rPr>
        <w:t>分两种情形设置启动条件：</w:t>
      </w:r>
    </w:p>
    <w:p>
      <w:pPr>
        <w:widowControl/>
        <w:shd w:val="clear" w:color="auto" w:fill="FFFFFF"/>
        <w:spacing w:line="560" w:lineRule="exact"/>
        <w:ind w:firstLine="640"/>
        <w:rPr>
          <w:b/>
          <w:color w:val="000000"/>
          <w:kern w:val="0"/>
          <w:szCs w:val="21"/>
        </w:rPr>
      </w:pPr>
      <w:r>
        <w:rPr>
          <w:b/>
          <w:color w:val="000000"/>
          <w:kern w:val="0"/>
          <w:sz w:val="32"/>
          <w:szCs w:val="32"/>
        </w:rPr>
        <w:t>1.</w:t>
      </w:r>
      <w:r>
        <w:rPr>
          <w:rFonts w:eastAsia="仿宋"/>
          <w:b/>
          <w:color w:val="000000"/>
          <w:kern w:val="0"/>
          <w:sz w:val="32"/>
          <w:szCs w:val="32"/>
        </w:rPr>
        <w:t>在市场周期性波动情形下，过度上涨二级预警发布时，由市发展改革委会同市财政局、市农业农村局、市商务局及时会商，提出政府储备肉投放计划建议（包括品种、数量、时机等），报市政府批准后，市商务局牵头组织实施；一级预警发布时加大投放力度，并积极向省级相关部门反映，争取省级储备肉投放。</w:t>
      </w:r>
    </w:p>
    <w:p>
      <w:pPr>
        <w:widowControl/>
        <w:shd w:val="clear" w:color="auto" w:fill="FFFFFF"/>
        <w:spacing w:line="560" w:lineRule="exact"/>
        <w:ind w:firstLine="640"/>
        <w:rPr>
          <w:rFonts w:eastAsia="仿宋"/>
          <w:b/>
          <w:color w:val="000000"/>
          <w:kern w:val="0"/>
          <w:sz w:val="32"/>
          <w:szCs w:val="32"/>
        </w:rPr>
      </w:pPr>
      <w:r>
        <w:rPr>
          <w:b/>
          <w:color w:val="000000"/>
          <w:kern w:val="0"/>
          <w:sz w:val="32"/>
          <w:szCs w:val="32"/>
        </w:rPr>
        <w:t>2.</w:t>
      </w:r>
      <w:r>
        <w:rPr>
          <w:rFonts w:eastAsia="仿宋"/>
          <w:b/>
          <w:color w:val="000000"/>
          <w:kern w:val="0"/>
          <w:sz w:val="32"/>
          <w:szCs w:val="32"/>
        </w:rPr>
        <w:t>出现重大动物疫情风险等特殊情形，提高价格涨幅容忍度，发布一级预警后，由市发展改革委会同市财政局、市农业农村局、市商务局及时会商，提出政府储备肉在重点时段集中投放计划建议，报市政府批准后，市商务局牵头组织实施。</w:t>
      </w:r>
    </w:p>
    <w:p>
      <w:pPr>
        <w:widowControl/>
        <w:shd w:val="clear" w:color="auto" w:fill="FFFFFF"/>
        <w:spacing w:line="560" w:lineRule="exact"/>
        <w:ind w:firstLine="640"/>
        <w:rPr>
          <w:rFonts w:eastAsia="仿宋"/>
          <w:b/>
          <w:color w:val="000000"/>
          <w:kern w:val="0"/>
          <w:sz w:val="32"/>
          <w:szCs w:val="32"/>
        </w:rPr>
      </w:pPr>
      <w:r>
        <w:rPr>
          <w:rFonts w:hint="eastAsia" w:eastAsia="仿宋"/>
          <w:b/>
          <w:color w:val="000000"/>
          <w:kern w:val="0"/>
          <w:sz w:val="32"/>
          <w:szCs w:val="32"/>
        </w:rPr>
        <w:t>各县（市、区）参照上述条件，研究确定政府储备投放规模并组织实施。</w:t>
      </w:r>
    </w:p>
    <w:p>
      <w:pPr>
        <w:widowControl/>
        <w:shd w:val="clear" w:color="auto" w:fill="FFFFFF"/>
        <w:spacing w:line="560" w:lineRule="exact"/>
        <w:ind w:firstLine="640"/>
        <w:rPr>
          <w:rFonts w:eastAsia="黑体"/>
          <w:b/>
          <w:color w:val="000000"/>
          <w:kern w:val="0"/>
          <w:sz w:val="32"/>
          <w:szCs w:val="32"/>
        </w:rPr>
      </w:pPr>
      <w:r>
        <w:rPr>
          <w:rFonts w:eastAsia="黑体"/>
          <w:b/>
          <w:color w:val="000000"/>
          <w:kern w:val="0"/>
          <w:sz w:val="32"/>
          <w:szCs w:val="32"/>
        </w:rPr>
        <w:t>五、政策支持</w:t>
      </w:r>
    </w:p>
    <w:p>
      <w:pPr>
        <w:widowControl/>
        <w:shd w:val="clear" w:color="auto" w:fill="FFFFFF"/>
        <w:spacing w:line="560" w:lineRule="exact"/>
        <w:ind w:firstLine="640"/>
        <w:rPr>
          <w:b/>
          <w:color w:val="000000"/>
          <w:kern w:val="0"/>
          <w:szCs w:val="21"/>
        </w:rPr>
      </w:pPr>
      <w:r>
        <w:rPr>
          <w:rFonts w:eastAsia="仿宋"/>
          <w:b/>
          <w:color w:val="000000"/>
          <w:kern w:val="0"/>
          <w:sz w:val="32"/>
          <w:szCs w:val="32"/>
        </w:rPr>
        <w:t>坚持问题导向、目标导向，切实加强生猪猪肉供给保障能力建设，强化政府猪肉储备调节与其他政策措施支持联动，做好生猪猪肉市场保供稳价工作。</w:t>
      </w:r>
    </w:p>
    <w:p>
      <w:pPr>
        <w:widowControl/>
        <w:shd w:val="clear" w:color="auto" w:fill="FFFFFF"/>
        <w:spacing w:line="560" w:lineRule="exact"/>
        <w:ind w:firstLine="640"/>
        <w:rPr>
          <w:b/>
          <w:color w:val="000000"/>
          <w:kern w:val="0"/>
          <w:szCs w:val="21"/>
        </w:rPr>
      </w:pPr>
      <w:r>
        <w:rPr>
          <w:rFonts w:eastAsia="楷体"/>
          <w:b/>
          <w:color w:val="000000"/>
          <w:kern w:val="0"/>
          <w:sz w:val="32"/>
          <w:szCs w:val="32"/>
        </w:rPr>
        <w:t>（一）落实地方主体责任。</w:t>
      </w:r>
      <w:r>
        <w:rPr>
          <w:rFonts w:eastAsia="仿宋"/>
          <w:b/>
          <w:color w:val="000000"/>
          <w:kern w:val="0"/>
          <w:sz w:val="32"/>
          <w:szCs w:val="32"/>
        </w:rPr>
        <w:t>压实生猪稳产保供和</w:t>
      </w:r>
      <w:r>
        <w:rPr>
          <w:b/>
          <w:color w:val="000000"/>
          <w:kern w:val="0"/>
          <w:sz w:val="32"/>
          <w:szCs w:val="32"/>
        </w:rPr>
        <w:t>“</w:t>
      </w:r>
      <w:r>
        <w:rPr>
          <w:rFonts w:eastAsia="仿宋"/>
          <w:b/>
          <w:color w:val="000000"/>
          <w:kern w:val="0"/>
          <w:sz w:val="32"/>
          <w:szCs w:val="32"/>
        </w:rPr>
        <w:t>菜篮子</w:t>
      </w:r>
      <w:r>
        <w:rPr>
          <w:b/>
          <w:color w:val="000000"/>
          <w:kern w:val="0"/>
          <w:sz w:val="32"/>
          <w:szCs w:val="32"/>
        </w:rPr>
        <w:t>”</w:t>
      </w:r>
      <w:r>
        <w:rPr>
          <w:rFonts w:eastAsia="仿宋"/>
          <w:b/>
          <w:color w:val="000000"/>
          <w:kern w:val="0"/>
          <w:sz w:val="32"/>
          <w:szCs w:val="32"/>
        </w:rPr>
        <w:t>市长、县（市、区）长负责制，将猪肉储备调节工作纳入我市“菜篮子”市长、县（市、区）长负责制考核，市农业农村局牵头定期组织绩效评估。对猪肉储备调节工作开展情况，相关部门不定期进行抽查、督导。</w:t>
      </w:r>
    </w:p>
    <w:p>
      <w:pPr>
        <w:widowControl/>
        <w:shd w:val="clear" w:color="auto" w:fill="FFFFFF"/>
        <w:spacing w:line="560" w:lineRule="exact"/>
        <w:ind w:firstLine="640"/>
        <w:rPr>
          <w:b/>
          <w:color w:val="000000"/>
          <w:kern w:val="0"/>
          <w:szCs w:val="21"/>
        </w:rPr>
      </w:pPr>
      <w:r>
        <w:rPr>
          <w:rFonts w:eastAsia="楷体"/>
          <w:b/>
          <w:color w:val="000000"/>
          <w:kern w:val="0"/>
          <w:sz w:val="32"/>
          <w:szCs w:val="32"/>
        </w:rPr>
        <w:t>（二）提升生产自给能力。</w:t>
      </w:r>
      <w:r>
        <w:rPr>
          <w:rFonts w:eastAsia="仿宋"/>
          <w:b/>
          <w:color w:val="000000"/>
          <w:kern w:val="0"/>
          <w:sz w:val="32"/>
          <w:szCs w:val="32"/>
        </w:rPr>
        <w:t>认真落实稳定生猪生产发展的政策措施，市发展改革委、</w:t>
      </w:r>
      <w:r>
        <w:rPr>
          <w:rFonts w:hint="eastAsia" w:eastAsia="仿宋"/>
          <w:b/>
          <w:color w:val="000000"/>
          <w:kern w:val="0"/>
          <w:sz w:val="32"/>
          <w:szCs w:val="32"/>
        </w:rPr>
        <w:t>市</w:t>
      </w:r>
      <w:r>
        <w:rPr>
          <w:rFonts w:eastAsia="仿宋"/>
          <w:b/>
          <w:color w:val="000000"/>
          <w:kern w:val="0"/>
          <w:sz w:val="32"/>
          <w:szCs w:val="32"/>
        </w:rPr>
        <w:t>农业农村局、</w:t>
      </w:r>
      <w:r>
        <w:rPr>
          <w:rFonts w:hint="eastAsia" w:eastAsia="仿宋"/>
          <w:b/>
          <w:color w:val="000000"/>
          <w:kern w:val="0"/>
          <w:sz w:val="32"/>
          <w:szCs w:val="32"/>
        </w:rPr>
        <w:t>市</w:t>
      </w:r>
      <w:r>
        <w:rPr>
          <w:rFonts w:eastAsia="仿宋"/>
          <w:b/>
          <w:color w:val="000000"/>
          <w:kern w:val="0"/>
          <w:sz w:val="32"/>
          <w:szCs w:val="32"/>
        </w:rPr>
        <w:t>财政局、</w:t>
      </w:r>
      <w:r>
        <w:rPr>
          <w:rFonts w:hint="eastAsia" w:eastAsia="仿宋"/>
          <w:b/>
          <w:color w:val="000000"/>
          <w:kern w:val="0"/>
          <w:sz w:val="32"/>
          <w:szCs w:val="32"/>
        </w:rPr>
        <w:t>市</w:t>
      </w:r>
      <w:r>
        <w:rPr>
          <w:rFonts w:eastAsia="仿宋"/>
          <w:b/>
          <w:color w:val="000000"/>
          <w:kern w:val="0"/>
          <w:sz w:val="32"/>
          <w:szCs w:val="32"/>
        </w:rPr>
        <w:t>自然资源和规划局、南充银保监分局等部门通过增加预算内投资、保障生猪产业用地需求、强化信贷和保险政策落实等方式，引导市场主体合理安排生产，调优生产力布局和结构，推进全产业链高质量发展，增强市场抗风险能力，促进生猪猪肉市场供求基本均衡，夯实保供稳价基础。</w:t>
      </w:r>
    </w:p>
    <w:p>
      <w:pPr>
        <w:widowControl/>
        <w:shd w:val="clear" w:color="auto" w:fill="FFFFFF"/>
        <w:spacing w:line="560" w:lineRule="exact"/>
        <w:ind w:firstLine="640"/>
        <w:rPr>
          <w:b/>
          <w:color w:val="000000"/>
          <w:kern w:val="0"/>
          <w:szCs w:val="21"/>
        </w:rPr>
      </w:pPr>
      <w:r>
        <w:rPr>
          <w:rFonts w:eastAsia="楷体"/>
          <w:b/>
          <w:color w:val="000000"/>
          <w:kern w:val="0"/>
          <w:sz w:val="32"/>
          <w:szCs w:val="32"/>
        </w:rPr>
        <w:t>（三）健全冷链物流体系。</w:t>
      </w:r>
      <w:r>
        <w:rPr>
          <w:rFonts w:eastAsia="仿宋"/>
          <w:b/>
          <w:color w:val="000000"/>
          <w:kern w:val="0"/>
          <w:sz w:val="32"/>
          <w:szCs w:val="32"/>
        </w:rPr>
        <w:t>完善冷链物流基础设施网络，建设城区冷藏配送中心，提高冷链物流服务效率和质量。鼓励通过建立储备库，或确定可租用的社会库点，进一步增强政府储备猪肉常规调节和应急调控能力。</w:t>
      </w:r>
    </w:p>
    <w:p>
      <w:pPr>
        <w:widowControl/>
        <w:shd w:val="clear" w:color="auto" w:fill="FFFFFF"/>
        <w:spacing w:line="600" w:lineRule="exact"/>
        <w:ind w:firstLine="641"/>
        <w:rPr>
          <w:b/>
          <w:color w:val="000000"/>
          <w:kern w:val="0"/>
          <w:szCs w:val="21"/>
        </w:rPr>
      </w:pPr>
      <w:r>
        <w:rPr>
          <w:rFonts w:eastAsia="楷体"/>
          <w:b/>
          <w:color w:val="000000"/>
          <w:kern w:val="0"/>
          <w:sz w:val="32"/>
          <w:szCs w:val="32"/>
        </w:rPr>
        <w:t>（四）强化监督管理。</w:t>
      </w:r>
      <w:r>
        <w:rPr>
          <w:rFonts w:eastAsia="仿宋"/>
          <w:b/>
          <w:color w:val="000000"/>
          <w:kern w:val="0"/>
          <w:sz w:val="32"/>
          <w:szCs w:val="32"/>
        </w:rPr>
        <w:t>农业农村部门加强饲料安全、生猪疫病防控及检疫工作；加强动物疫情监测，建立健全重大动物疫情预警机制；按照《南充市突发重大动物疫情应急预案》要求及时处理疫情；加强屠宰环节病害猪（肉）无害化处理的监管。市场监管部门依法依规及时采取提醒告诫、约谈、查处等方式，严厉打击囤积居奇、哄抬价格、价格串通，以及散布涨价信息、低于成本价格倾销等违法行为，维护公平竞争的市场秩序；加强对猪肉市场流通环节食品安全监管。</w:t>
      </w:r>
    </w:p>
    <w:p>
      <w:pPr>
        <w:widowControl/>
        <w:shd w:val="clear" w:color="auto" w:fill="FFFFFF"/>
        <w:spacing w:line="600" w:lineRule="exact"/>
        <w:ind w:firstLine="641"/>
        <w:rPr>
          <w:b/>
          <w:color w:val="000000"/>
          <w:kern w:val="0"/>
          <w:szCs w:val="21"/>
        </w:rPr>
      </w:pPr>
      <w:r>
        <w:rPr>
          <w:rFonts w:eastAsia="黑体"/>
          <w:b/>
          <w:color w:val="000000"/>
          <w:kern w:val="0"/>
          <w:sz w:val="32"/>
          <w:szCs w:val="32"/>
        </w:rPr>
        <w:t>六、组织保障</w:t>
      </w:r>
    </w:p>
    <w:p>
      <w:pPr>
        <w:widowControl/>
        <w:shd w:val="clear" w:color="auto" w:fill="FFFFFF"/>
        <w:spacing w:line="600" w:lineRule="exact"/>
        <w:ind w:firstLine="641"/>
        <w:rPr>
          <w:b/>
          <w:color w:val="000000"/>
          <w:kern w:val="0"/>
          <w:szCs w:val="21"/>
        </w:rPr>
      </w:pPr>
      <w:r>
        <w:rPr>
          <w:rFonts w:eastAsia="仿宋"/>
          <w:b/>
          <w:color w:val="000000"/>
          <w:kern w:val="0"/>
          <w:sz w:val="32"/>
          <w:szCs w:val="32"/>
        </w:rPr>
        <w:t>市级有关部门要加强沟通协作，强化经费保障，确保政府猪肉储备调节机制运转良好。</w:t>
      </w:r>
    </w:p>
    <w:p>
      <w:pPr>
        <w:widowControl/>
        <w:shd w:val="clear" w:color="auto" w:fill="FFFFFF"/>
        <w:spacing w:line="600" w:lineRule="exact"/>
        <w:ind w:firstLine="641"/>
        <w:rPr>
          <w:rFonts w:eastAsia="仿宋"/>
          <w:b/>
          <w:color w:val="000000"/>
          <w:kern w:val="0"/>
          <w:sz w:val="32"/>
          <w:szCs w:val="32"/>
        </w:rPr>
      </w:pPr>
      <w:r>
        <w:rPr>
          <w:rFonts w:eastAsia="楷体"/>
          <w:b/>
          <w:color w:val="000000"/>
          <w:kern w:val="0"/>
          <w:sz w:val="32"/>
          <w:szCs w:val="32"/>
        </w:rPr>
        <w:t>（一）加强部门会商。</w:t>
      </w:r>
      <w:r>
        <w:rPr>
          <w:rFonts w:eastAsia="仿宋"/>
          <w:b/>
          <w:color w:val="000000"/>
          <w:kern w:val="0"/>
          <w:sz w:val="32"/>
          <w:szCs w:val="32"/>
        </w:rPr>
        <w:t>市发展改革委牵头开展生猪猪肉市场保供稳价工作，会同市财政局、</w:t>
      </w:r>
      <w:r>
        <w:rPr>
          <w:rFonts w:hint="eastAsia" w:eastAsia="仿宋"/>
          <w:b/>
          <w:color w:val="000000"/>
          <w:kern w:val="0"/>
          <w:sz w:val="32"/>
          <w:szCs w:val="32"/>
        </w:rPr>
        <w:t>市</w:t>
      </w:r>
      <w:r>
        <w:rPr>
          <w:rFonts w:eastAsia="仿宋"/>
          <w:b/>
          <w:color w:val="000000"/>
          <w:kern w:val="0"/>
          <w:sz w:val="32"/>
          <w:szCs w:val="32"/>
        </w:rPr>
        <w:t>农业农村局、</w:t>
      </w:r>
      <w:r>
        <w:rPr>
          <w:rFonts w:hint="eastAsia" w:eastAsia="仿宋"/>
          <w:b/>
          <w:color w:val="000000"/>
          <w:kern w:val="0"/>
          <w:sz w:val="32"/>
          <w:szCs w:val="32"/>
        </w:rPr>
        <w:t>市</w:t>
      </w:r>
      <w:r>
        <w:rPr>
          <w:rFonts w:eastAsia="仿宋"/>
          <w:b/>
          <w:color w:val="000000"/>
          <w:kern w:val="0"/>
          <w:sz w:val="32"/>
          <w:szCs w:val="32"/>
        </w:rPr>
        <w:t>商务局等部门定期或不定期召开部门会商会议，分析生猪猪肉市场价格形势，合理确定或调整政府猪肉常规储备规模，确定预警发布相关事宜，议定储备响应有关建议报政府，研究特殊情况下的生猪猪肉市场调控措施。重大事项及时请示</w:t>
      </w:r>
      <w:r>
        <w:rPr>
          <w:rFonts w:hint="eastAsia" w:eastAsia="仿宋"/>
          <w:b/>
          <w:color w:val="000000"/>
          <w:kern w:val="0"/>
          <w:sz w:val="32"/>
          <w:szCs w:val="32"/>
        </w:rPr>
        <w:t>市</w:t>
      </w:r>
      <w:r>
        <w:rPr>
          <w:rFonts w:eastAsia="仿宋"/>
          <w:b/>
          <w:color w:val="000000"/>
          <w:kern w:val="0"/>
          <w:sz w:val="32"/>
          <w:szCs w:val="32"/>
        </w:rPr>
        <w:t>政府。市商务局根据职责分工做好市级政府猪肉储备管理工作，各县（市、区）相关部门根据职责分工做好县（市、区）级政府猪肉储备管理工作。市发展改革委牵头做好本调控预案执行情况的跟踪评估，根据国省要求和市场形势变化，及时会同市级相关部门修订完善。</w:t>
      </w:r>
    </w:p>
    <w:p>
      <w:pPr>
        <w:widowControl/>
        <w:shd w:val="clear" w:color="auto" w:fill="FFFFFF"/>
        <w:spacing w:line="600" w:lineRule="exact"/>
        <w:ind w:firstLine="641"/>
        <w:rPr>
          <w:rFonts w:hint="eastAsia" w:eastAsia="仿宋"/>
          <w:b/>
          <w:color w:val="000000"/>
          <w:kern w:val="0"/>
          <w:sz w:val="32"/>
          <w:szCs w:val="32"/>
        </w:rPr>
      </w:pPr>
      <w:r>
        <w:rPr>
          <w:rFonts w:eastAsia="楷体"/>
          <w:b/>
          <w:color w:val="000000"/>
          <w:kern w:val="0"/>
          <w:sz w:val="32"/>
          <w:szCs w:val="32"/>
        </w:rPr>
        <w:t>（二）强化各级联动。</w:t>
      </w:r>
      <w:r>
        <w:rPr>
          <w:rFonts w:eastAsia="仿宋"/>
          <w:b/>
          <w:color w:val="000000"/>
          <w:kern w:val="0"/>
          <w:sz w:val="32"/>
          <w:szCs w:val="32"/>
        </w:rPr>
        <w:t>市发展改革委会同市级有关部门加强对全市政府猪肉储备调节工作的统筹指导。市级有关部门协同市发展改革委做好监测数据共享、预警指标和预警区域衔接、统一收储启动、重大事项会商等工作。</w:t>
      </w:r>
    </w:p>
    <w:p>
      <w:pPr>
        <w:widowControl/>
        <w:shd w:val="clear" w:color="auto" w:fill="FFFFFF"/>
        <w:spacing w:line="560" w:lineRule="exact"/>
        <w:ind w:firstLine="640"/>
        <w:rPr>
          <w:b/>
          <w:color w:val="000000"/>
          <w:kern w:val="0"/>
          <w:szCs w:val="21"/>
        </w:rPr>
      </w:pPr>
      <w:r>
        <w:rPr>
          <w:rFonts w:eastAsia="楷体"/>
          <w:b/>
          <w:color w:val="000000"/>
          <w:kern w:val="0"/>
          <w:sz w:val="32"/>
          <w:szCs w:val="32"/>
        </w:rPr>
        <w:t>（三）保障相关经费。</w:t>
      </w:r>
      <w:r>
        <w:rPr>
          <w:rFonts w:eastAsia="仿宋"/>
          <w:b/>
          <w:color w:val="000000"/>
          <w:kern w:val="0"/>
          <w:sz w:val="32"/>
          <w:szCs w:val="32"/>
        </w:rPr>
        <w:t>财政部门要切实保障应负担的政府猪肉储备相关经费。市级政府猪肉储备相关经费由市级财政负担，各县（市、区）政府猪肉储备相关经费由当地财政负担。</w:t>
      </w:r>
    </w:p>
    <w:p>
      <w:pPr>
        <w:widowControl/>
        <w:shd w:val="clear" w:color="auto" w:fill="FFFFFF"/>
        <w:spacing w:line="560" w:lineRule="exact"/>
        <w:ind w:firstLine="640"/>
        <w:rPr>
          <w:rFonts w:eastAsia="仿宋"/>
          <w:b/>
          <w:color w:val="000000"/>
          <w:kern w:val="0"/>
          <w:sz w:val="32"/>
          <w:szCs w:val="32"/>
        </w:rPr>
      </w:pPr>
      <w:r>
        <w:rPr>
          <w:rFonts w:eastAsia="仿宋"/>
          <w:b/>
          <w:color w:val="000000"/>
          <w:kern w:val="0"/>
          <w:sz w:val="32"/>
          <w:szCs w:val="32"/>
        </w:rPr>
        <w:t>各县（市、区）参照本调控预案，进一步细化本地生猪猪肉市场价格调控工作方案，积极创新工作方式，提高工作效率效能，促进当地生猪猪肉市场供需平衡和价格基本稳定。相关工作方案及时向市发展改革委、</w:t>
      </w:r>
      <w:r>
        <w:rPr>
          <w:rFonts w:hint="eastAsia" w:eastAsia="仿宋"/>
          <w:b/>
          <w:color w:val="000000"/>
          <w:kern w:val="0"/>
          <w:sz w:val="32"/>
          <w:szCs w:val="32"/>
        </w:rPr>
        <w:t>市</w:t>
      </w:r>
      <w:r>
        <w:rPr>
          <w:rFonts w:eastAsia="仿宋"/>
          <w:b/>
          <w:color w:val="000000"/>
          <w:kern w:val="0"/>
          <w:sz w:val="32"/>
          <w:szCs w:val="32"/>
        </w:rPr>
        <w:t>财政局、</w:t>
      </w:r>
      <w:r>
        <w:rPr>
          <w:rFonts w:hint="eastAsia" w:eastAsia="仿宋"/>
          <w:b/>
          <w:color w:val="000000"/>
          <w:kern w:val="0"/>
          <w:sz w:val="32"/>
          <w:szCs w:val="32"/>
        </w:rPr>
        <w:t>市</w:t>
      </w:r>
      <w:r>
        <w:rPr>
          <w:rFonts w:eastAsia="仿宋"/>
          <w:b/>
          <w:color w:val="000000"/>
          <w:kern w:val="0"/>
          <w:sz w:val="32"/>
          <w:szCs w:val="32"/>
        </w:rPr>
        <w:t>农业农村局、</w:t>
      </w:r>
      <w:r>
        <w:rPr>
          <w:rFonts w:hint="eastAsia" w:eastAsia="仿宋"/>
          <w:b/>
          <w:color w:val="000000"/>
          <w:kern w:val="0"/>
          <w:sz w:val="32"/>
          <w:szCs w:val="32"/>
        </w:rPr>
        <w:t>市</w:t>
      </w:r>
      <w:r>
        <w:rPr>
          <w:rFonts w:eastAsia="仿宋"/>
          <w:b/>
          <w:color w:val="000000"/>
          <w:kern w:val="0"/>
          <w:sz w:val="32"/>
          <w:szCs w:val="32"/>
        </w:rPr>
        <w:t>商务局、</w:t>
      </w:r>
      <w:r>
        <w:rPr>
          <w:rFonts w:hint="eastAsia" w:eastAsia="仿宋"/>
          <w:b/>
          <w:color w:val="000000"/>
          <w:kern w:val="0"/>
          <w:sz w:val="32"/>
          <w:szCs w:val="32"/>
        </w:rPr>
        <w:t>市</w:t>
      </w:r>
      <w:r>
        <w:rPr>
          <w:rFonts w:eastAsia="仿宋"/>
          <w:b/>
          <w:color w:val="000000"/>
          <w:kern w:val="0"/>
          <w:sz w:val="32"/>
          <w:szCs w:val="32"/>
        </w:rPr>
        <w:t>市场监管局报备。</w:t>
      </w:r>
    </w:p>
    <w:p>
      <w:pPr>
        <w:widowControl/>
        <w:shd w:val="clear" w:color="auto" w:fill="FFFFFF"/>
        <w:spacing w:line="560" w:lineRule="exact"/>
        <w:ind w:firstLine="640"/>
        <w:rPr>
          <w:rFonts w:eastAsia="仿宋"/>
          <w:b/>
          <w:color w:val="000000"/>
          <w:kern w:val="0"/>
          <w:sz w:val="32"/>
          <w:szCs w:val="32"/>
        </w:rPr>
      </w:pPr>
      <w:r>
        <w:rPr>
          <w:rFonts w:eastAsia="仿宋"/>
          <w:b/>
          <w:color w:val="000000"/>
          <w:kern w:val="0"/>
          <w:sz w:val="32"/>
          <w:szCs w:val="32"/>
        </w:rPr>
        <w:t>本调控预案自发布之日起执行。市发展改革委、</w:t>
      </w:r>
      <w:r>
        <w:rPr>
          <w:rFonts w:hint="eastAsia" w:eastAsia="仿宋"/>
          <w:b/>
          <w:color w:val="000000"/>
          <w:kern w:val="0"/>
          <w:sz w:val="32"/>
          <w:szCs w:val="32"/>
        </w:rPr>
        <w:t>市</w:t>
      </w:r>
      <w:r>
        <w:rPr>
          <w:rFonts w:eastAsia="仿宋"/>
          <w:b/>
          <w:color w:val="000000"/>
          <w:kern w:val="0"/>
          <w:sz w:val="32"/>
          <w:szCs w:val="32"/>
        </w:rPr>
        <w:t>财政局、</w:t>
      </w:r>
      <w:r>
        <w:rPr>
          <w:rFonts w:hint="eastAsia" w:eastAsia="仿宋"/>
          <w:b/>
          <w:color w:val="000000"/>
          <w:kern w:val="0"/>
          <w:sz w:val="32"/>
          <w:szCs w:val="32"/>
        </w:rPr>
        <w:t>市</w:t>
      </w:r>
      <w:r>
        <w:rPr>
          <w:rFonts w:eastAsia="仿宋"/>
          <w:b/>
          <w:color w:val="000000"/>
          <w:kern w:val="0"/>
          <w:sz w:val="32"/>
          <w:szCs w:val="32"/>
        </w:rPr>
        <w:t>农业农村局、</w:t>
      </w:r>
      <w:r>
        <w:rPr>
          <w:rFonts w:hint="eastAsia" w:eastAsia="仿宋"/>
          <w:b/>
          <w:color w:val="000000"/>
          <w:kern w:val="0"/>
          <w:sz w:val="32"/>
          <w:szCs w:val="32"/>
        </w:rPr>
        <w:t>市</w:t>
      </w:r>
      <w:r>
        <w:rPr>
          <w:rFonts w:eastAsia="仿宋"/>
          <w:b/>
          <w:color w:val="000000"/>
          <w:kern w:val="0"/>
          <w:sz w:val="32"/>
          <w:szCs w:val="32"/>
        </w:rPr>
        <w:t>商务局、</w:t>
      </w:r>
      <w:r>
        <w:rPr>
          <w:rFonts w:hint="eastAsia" w:eastAsia="仿宋"/>
          <w:b/>
          <w:color w:val="000000"/>
          <w:kern w:val="0"/>
          <w:sz w:val="32"/>
          <w:szCs w:val="32"/>
        </w:rPr>
        <w:t>市</w:t>
      </w:r>
      <w:r>
        <w:rPr>
          <w:rFonts w:eastAsia="仿宋"/>
          <w:b/>
          <w:color w:val="000000"/>
          <w:kern w:val="0"/>
          <w:sz w:val="32"/>
          <w:szCs w:val="32"/>
        </w:rPr>
        <w:t>市场监管局根据职能职责负责解释。</w:t>
      </w:r>
    </w:p>
    <w:p>
      <w:pPr>
        <w:spacing w:line="560" w:lineRule="exact"/>
        <w:ind w:firstLine="921" w:firstLineChars="296"/>
        <w:rPr>
          <w:rFonts w:hint="eastAsia" w:eastAsia="方正仿宋_GBK"/>
          <w:b/>
          <w:bCs/>
          <w:sz w:val="32"/>
          <w:szCs w:val="32"/>
        </w:rPr>
      </w:pPr>
    </w:p>
    <w:p>
      <w:pPr>
        <w:spacing w:line="560" w:lineRule="exact"/>
        <w:ind w:firstLine="921" w:firstLineChars="296"/>
        <w:rPr>
          <w:rFonts w:hint="eastAsia" w:eastAsia="方正仿宋_GBK"/>
          <w:b/>
          <w:bCs/>
          <w:sz w:val="32"/>
          <w:szCs w:val="32"/>
        </w:rPr>
      </w:pPr>
    </w:p>
    <w:p>
      <w:pPr>
        <w:spacing w:line="560" w:lineRule="exact"/>
        <w:ind w:firstLine="921" w:firstLineChars="296"/>
        <w:rPr>
          <w:rFonts w:hint="eastAsia" w:eastAsia="方正仿宋_GBK"/>
          <w:b/>
          <w:bCs/>
          <w:sz w:val="32"/>
          <w:szCs w:val="32"/>
        </w:rPr>
      </w:pPr>
    </w:p>
    <w:p>
      <w:pPr>
        <w:spacing w:line="560" w:lineRule="exact"/>
        <w:ind w:firstLine="921" w:firstLineChars="296"/>
        <w:rPr>
          <w:rFonts w:hint="eastAsia" w:eastAsia="方正仿宋_GBK"/>
          <w:bCs/>
          <w:sz w:val="32"/>
          <w:szCs w:val="32"/>
        </w:rPr>
      </w:pPr>
    </w:p>
    <w:p>
      <w:pPr>
        <w:spacing w:line="560" w:lineRule="exact"/>
        <w:ind w:firstLine="921" w:firstLineChars="296"/>
        <w:rPr>
          <w:rFonts w:hint="eastAsia" w:eastAsia="方正仿宋_GBK"/>
          <w:bCs/>
          <w:sz w:val="32"/>
          <w:szCs w:val="32"/>
        </w:rPr>
      </w:pPr>
    </w:p>
    <w:p>
      <w:pPr>
        <w:spacing w:line="560" w:lineRule="exact"/>
        <w:ind w:firstLine="921" w:firstLineChars="296"/>
        <w:rPr>
          <w:rFonts w:hint="eastAsia" w:eastAsia="方正仿宋_GBK"/>
          <w:bCs/>
          <w:sz w:val="32"/>
          <w:szCs w:val="32"/>
        </w:rPr>
      </w:pPr>
    </w:p>
    <w:p>
      <w:pPr>
        <w:spacing w:line="560" w:lineRule="exact"/>
        <w:ind w:firstLine="921" w:firstLineChars="296"/>
        <w:rPr>
          <w:rFonts w:hint="eastAsia" w:eastAsia="方正仿宋_GBK"/>
          <w:bCs/>
          <w:sz w:val="32"/>
          <w:szCs w:val="32"/>
        </w:rPr>
      </w:pPr>
    </w:p>
    <w:p>
      <w:pPr>
        <w:spacing w:line="560" w:lineRule="exact"/>
        <w:ind w:firstLine="921" w:firstLineChars="296"/>
        <w:rPr>
          <w:rFonts w:hint="eastAsia" w:eastAsia="方正仿宋_GBK"/>
          <w:bCs/>
          <w:sz w:val="32"/>
          <w:szCs w:val="32"/>
        </w:rPr>
      </w:pPr>
    </w:p>
    <w:p>
      <w:pPr>
        <w:spacing w:line="560" w:lineRule="exact"/>
        <w:ind w:firstLine="921" w:firstLineChars="296"/>
        <w:rPr>
          <w:rFonts w:hint="eastAsia" w:eastAsia="方正仿宋_GBK"/>
          <w:bCs/>
          <w:sz w:val="32"/>
          <w:szCs w:val="32"/>
        </w:rPr>
      </w:pPr>
    </w:p>
    <w:p>
      <w:pPr>
        <w:spacing w:line="560" w:lineRule="exact"/>
        <w:ind w:firstLine="921" w:firstLineChars="296"/>
        <w:rPr>
          <w:rFonts w:hint="eastAsia" w:eastAsia="方正仿宋_GBK"/>
          <w:bCs/>
          <w:sz w:val="32"/>
          <w:szCs w:val="32"/>
        </w:rPr>
      </w:pPr>
    </w:p>
    <w:p>
      <w:pPr>
        <w:spacing w:line="560" w:lineRule="exact"/>
        <w:ind w:firstLine="921" w:firstLineChars="296"/>
        <w:rPr>
          <w:rFonts w:hint="eastAsia" w:eastAsia="方正仿宋_GBK"/>
          <w:bCs/>
          <w:sz w:val="32"/>
          <w:szCs w:val="32"/>
        </w:rPr>
      </w:pPr>
    </w:p>
    <w:p>
      <w:pPr>
        <w:spacing w:line="560" w:lineRule="exact"/>
        <w:ind w:firstLine="921" w:firstLineChars="296"/>
        <w:rPr>
          <w:rFonts w:hint="eastAsia" w:eastAsia="方正仿宋_GBK"/>
          <w:bCs/>
          <w:sz w:val="32"/>
          <w:szCs w:val="32"/>
        </w:rPr>
      </w:pPr>
    </w:p>
    <w:p>
      <w:pPr>
        <w:spacing w:line="560" w:lineRule="exact"/>
        <w:ind w:firstLine="921" w:firstLineChars="296"/>
        <w:rPr>
          <w:rFonts w:hint="eastAsia" w:eastAsia="方正仿宋_GBK"/>
          <w:bCs/>
          <w:sz w:val="32"/>
          <w:szCs w:val="32"/>
        </w:rPr>
      </w:pPr>
    </w:p>
    <w:p>
      <w:pPr>
        <w:spacing w:line="560" w:lineRule="exact"/>
        <w:ind w:firstLine="921" w:firstLineChars="296"/>
        <w:rPr>
          <w:rFonts w:hint="eastAsia" w:eastAsia="方正仿宋_GBK"/>
          <w:bCs/>
          <w:sz w:val="32"/>
          <w:szCs w:val="32"/>
        </w:rPr>
      </w:pPr>
    </w:p>
    <w:p>
      <w:pPr>
        <w:spacing w:line="560" w:lineRule="exact"/>
        <w:ind w:firstLine="921" w:firstLineChars="296"/>
        <w:rPr>
          <w:rFonts w:hint="eastAsia" w:eastAsia="方正仿宋_GBK"/>
          <w:bCs/>
          <w:sz w:val="32"/>
          <w:szCs w:val="32"/>
        </w:rPr>
      </w:pPr>
    </w:p>
    <w:p>
      <w:pPr>
        <w:spacing w:line="560" w:lineRule="exact"/>
        <w:ind w:firstLine="921" w:firstLineChars="296"/>
        <w:rPr>
          <w:rFonts w:hint="eastAsia" w:eastAsia="方正仿宋_GBK"/>
          <w:bCs/>
          <w:sz w:val="32"/>
          <w:szCs w:val="32"/>
        </w:rPr>
      </w:pPr>
    </w:p>
    <w:p>
      <w:pPr>
        <w:spacing w:line="560" w:lineRule="exact"/>
        <w:ind w:firstLine="921" w:firstLineChars="296"/>
        <w:rPr>
          <w:rFonts w:hint="eastAsia" w:eastAsia="方正仿宋_GBK"/>
          <w:bCs/>
          <w:sz w:val="32"/>
          <w:szCs w:val="32"/>
        </w:rPr>
      </w:pPr>
    </w:p>
    <w:p>
      <w:pPr>
        <w:spacing w:line="560" w:lineRule="exact"/>
        <w:ind w:firstLine="921" w:firstLineChars="296"/>
        <w:rPr>
          <w:rFonts w:hint="eastAsia" w:eastAsia="方正仿宋_GBK"/>
          <w:bCs/>
          <w:sz w:val="32"/>
          <w:szCs w:val="32"/>
        </w:rPr>
      </w:pPr>
    </w:p>
    <w:p>
      <w:pPr>
        <w:spacing w:line="560" w:lineRule="exact"/>
        <w:ind w:firstLine="921" w:firstLineChars="296"/>
        <w:rPr>
          <w:rFonts w:hint="eastAsia" w:eastAsia="方正仿宋_GBK"/>
          <w:bCs/>
          <w:sz w:val="32"/>
          <w:szCs w:val="32"/>
        </w:rPr>
      </w:pPr>
    </w:p>
    <w:p>
      <w:pPr>
        <w:spacing w:line="560" w:lineRule="exact"/>
        <w:ind w:firstLine="921" w:firstLineChars="296"/>
        <w:rPr>
          <w:rFonts w:hint="eastAsia" w:eastAsia="方正仿宋_GBK"/>
          <w:bCs/>
          <w:sz w:val="32"/>
          <w:szCs w:val="32"/>
        </w:rPr>
      </w:pPr>
    </w:p>
    <w:p>
      <w:pPr>
        <w:spacing w:line="560" w:lineRule="exact"/>
        <w:ind w:firstLine="921" w:firstLineChars="296"/>
        <w:rPr>
          <w:rFonts w:hint="eastAsia" w:eastAsia="方正仿宋_GBK"/>
          <w:bCs/>
          <w:sz w:val="32"/>
          <w:szCs w:val="32"/>
        </w:rPr>
      </w:pPr>
    </w:p>
    <w:p>
      <w:pPr>
        <w:spacing w:line="560" w:lineRule="exact"/>
        <w:ind w:firstLine="921" w:firstLineChars="296"/>
        <w:rPr>
          <w:rFonts w:hint="eastAsia" w:eastAsia="方正仿宋_GBK"/>
          <w:bCs/>
          <w:sz w:val="32"/>
          <w:szCs w:val="32"/>
        </w:rPr>
      </w:pPr>
    </w:p>
    <w:p>
      <w:pPr>
        <w:spacing w:line="560" w:lineRule="exact"/>
        <w:ind w:firstLine="921" w:firstLineChars="296"/>
        <w:rPr>
          <w:rFonts w:hint="eastAsia" w:eastAsia="方正仿宋_GBK"/>
          <w:bCs/>
          <w:sz w:val="32"/>
          <w:szCs w:val="32"/>
        </w:rPr>
      </w:pPr>
    </w:p>
    <w:p>
      <w:pPr>
        <w:spacing w:line="560" w:lineRule="exact"/>
        <w:ind w:firstLine="921" w:firstLineChars="296"/>
        <w:rPr>
          <w:rFonts w:hint="eastAsia" w:eastAsia="方正仿宋_GBK"/>
          <w:bCs/>
          <w:sz w:val="32"/>
          <w:szCs w:val="32"/>
        </w:rPr>
      </w:pPr>
    </w:p>
    <w:p>
      <w:pPr>
        <w:spacing w:line="560" w:lineRule="exact"/>
        <w:ind w:firstLine="921" w:firstLineChars="296"/>
        <w:rPr>
          <w:rFonts w:hint="eastAsia" w:eastAsia="方正仿宋_GBK"/>
          <w:bCs/>
          <w:sz w:val="32"/>
          <w:szCs w:val="32"/>
        </w:rPr>
      </w:pPr>
    </w:p>
    <w:p>
      <w:pPr>
        <w:spacing w:line="560" w:lineRule="exact"/>
        <w:ind w:firstLine="921" w:firstLineChars="296"/>
        <w:rPr>
          <w:rFonts w:hint="eastAsia" w:eastAsia="方正仿宋_GBK"/>
          <w:bCs/>
          <w:sz w:val="32"/>
          <w:szCs w:val="32"/>
        </w:rPr>
      </w:pPr>
    </w:p>
    <w:p>
      <w:pPr>
        <w:spacing w:line="560" w:lineRule="exact"/>
        <w:ind w:firstLine="921" w:firstLineChars="296"/>
        <w:rPr>
          <w:rFonts w:hint="eastAsia" w:eastAsia="方正仿宋_GBK"/>
          <w:bCs/>
          <w:sz w:val="32"/>
          <w:szCs w:val="32"/>
        </w:rPr>
      </w:pPr>
    </w:p>
    <w:p>
      <w:pPr>
        <w:spacing w:line="560" w:lineRule="exact"/>
        <w:ind w:firstLine="921" w:firstLineChars="296"/>
        <w:rPr>
          <w:rFonts w:hint="eastAsia" w:eastAsia="方正仿宋_GBK"/>
          <w:bCs/>
          <w:sz w:val="32"/>
          <w:szCs w:val="32"/>
        </w:rPr>
      </w:pPr>
    </w:p>
    <w:p>
      <w:pPr>
        <w:spacing w:line="560" w:lineRule="exact"/>
        <w:ind w:firstLine="921" w:firstLineChars="296"/>
        <w:rPr>
          <w:rFonts w:hint="eastAsia" w:eastAsia="方正仿宋_GBK"/>
          <w:bCs/>
          <w:sz w:val="32"/>
          <w:szCs w:val="32"/>
        </w:rPr>
      </w:pPr>
    </w:p>
    <w:p>
      <w:pPr>
        <w:spacing w:line="560" w:lineRule="exact"/>
        <w:ind w:firstLine="921" w:firstLineChars="296"/>
        <w:rPr>
          <w:rFonts w:hint="eastAsia" w:eastAsia="方正仿宋_GBK"/>
          <w:bCs/>
          <w:sz w:val="32"/>
          <w:szCs w:val="32"/>
        </w:rPr>
      </w:pPr>
    </w:p>
    <w:p>
      <w:pPr>
        <w:spacing w:line="560" w:lineRule="exact"/>
        <w:ind w:firstLine="921" w:firstLineChars="296"/>
        <w:rPr>
          <w:rFonts w:hint="eastAsia" w:eastAsia="方正仿宋_GBK"/>
          <w:bCs/>
          <w:sz w:val="32"/>
          <w:szCs w:val="32"/>
        </w:rPr>
      </w:pPr>
    </w:p>
    <w:p>
      <w:pPr>
        <w:spacing w:line="560" w:lineRule="exact"/>
        <w:ind w:firstLine="921" w:firstLineChars="296"/>
        <w:rPr>
          <w:rFonts w:hint="eastAsia" w:eastAsia="方正仿宋_GBK"/>
          <w:bCs/>
          <w:sz w:val="32"/>
          <w:szCs w:val="32"/>
        </w:rPr>
      </w:pPr>
    </w:p>
    <w:p>
      <w:pPr>
        <w:spacing w:line="560" w:lineRule="exact"/>
        <w:ind w:firstLine="266" w:firstLineChars="98"/>
        <w:rPr>
          <w:rFonts w:eastAsia="方正仿宋简体"/>
          <w:b/>
          <w:sz w:val="28"/>
          <w:szCs w:val="28"/>
        </w:rPr>
      </w:pPr>
      <w:r>
        <w:rPr>
          <w:rFonts w:eastAsia="方正仿宋简体"/>
          <w:b/>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368300</wp:posOffset>
                </wp:positionV>
                <wp:extent cx="5715000"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9pt;height:0pt;width:450pt;z-index:251659264;mso-width-relative:page;mso-height-relative:page;" coordsize="21600,21600" o:gfxdata="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gnUzDTAAAABgEAAA8AAAAAAAAAAQAgAAAAIgAAAGRycy9kb3ducmV2LnhtbFBLAQIUABQAAAAI&#10;AIdO4kBAG9wP8gEAAOQDAAAOAAAAAAAAAAEAIAAAACIBAABkcnMvZTJvRG9jLnhtbFBLBQYAAAAA&#10;BgAGAFkBAACGBQAAAAA=&#10;">
                <v:path arrowok="t"/>
                <v:fill focussize="0,0"/>
                <v:stroke/>
                <v:imagedata o:title=""/>
                <o:lock v:ext="edit"/>
              </v:line>
            </w:pict>
          </mc:Fallback>
        </mc:AlternateContent>
      </w:r>
      <w:r>
        <w:rPr>
          <w:rFonts w:eastAsia="方正仿宋简体"/>
          <w:b/>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50800</wp:posOffset>
                </wp:positionV>
                <wp:extent cx="5715000"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4pt;height:0pt;width:450pt;z-index:251660288;mso-width-relative:page;mso-height-relative:page;" coordsize="21600,21600" o:gfxdata="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O78OvSAAAABAEAAA8AAAAAAAAAAQAgAAAAIgAAAGRycy9kb3ducmV2LnhtbFBLAQIUABQAAAAI&#10;AIdO4kBzpnC48wEAAOQDAAAOAAAAAAAAAAEAIAAAACEBAABkcnMvZTJvRG9jLnhtbFBLBQYAAAAA&#10;BgAGAFkBAACGBQAAAAA=&#10;">
                <v:path arrowok="t"/>
                <v:fill focussize="0,0"/>
                <v:stroke/>
                <v:imagedata o:title=""/>
                <o:lock v:ext="edit"/>
              </v:line>
            </w:pict>
          </mc:Fallback>
        </mc:AlternateContent>
      </w:r>
      <w:r>
        <w:rPr>
          <w:rFonts w:eastAsia="方正仿宋简体"/>
          <w:b/>
          <w:sz w:val="28"/>
          <w:szCs w:val="28"/>
        </w:rPr>
        <w:t>南充市发展和改革委员会办公室            20</w:t>
      </w:r>
      <w:r>
        <w:rPr>
          <w:rFonts w:hint="eastAsia" w:eastAsia="方正仿宋简体"/>
          <w:b/>
          <w:sz w:val="28"/>
          <w:szCs w:val="28"/>
        </w:rPr>
        <w:t>21</w:t>
      </w:r>
      <w:r>
        <w:rPr>
          <w:rFonts w:eastAsia="方正仿宋简体"/>
          <w:b/>
          <w:sz w:val="28"/>
          <w:szCs w:val="28"/>
        </w:rPr>
        <w:t>年</w:t>
      </w:r>
      <w:r>
        <w:rPr>
          <w:rFonts w:hint="eastAsia" w:eastAsia="方正仿宋简体"/>
          <w:b/>
          <w:sz w:val="28"/>
          <w:szCs w:val="28"/>
        </w:rPr>
        <w:t>10</w:t>
      </w:r>
      <w:r>
        <w:rPr>
          <w:rFonts w:eastAsia="方正仿宋简体"/>
          <w:b/>
          <w:sz w:val="28"/>
          <w:szCs w:val="28"/>
        </w:rPr>
        <w:t>月</w:t>
      </w:r>
      <w:r>
        <w:rPr>
          <w:rFonts w:hint="eastAsia" w:eastAsia="方正仿宋简体"/>
          <w:b/>
          <w:sz w:val="28"/>
          <w:szCs w:val="28"/>
        </w:rPr>
        <w:t>15</w:t>
      </w:r>
      <w:r>
        <w:rPr>
          <w:rFonts w:eastAsia="方正仿宋简体"/>
          <w:b/>
          <w:sz w:val="28"/>
          <w:szCs w:val="28"/>
        </w:rPr>
        <w:t>日 印发</w:t>
      </w:r>
    </w:p>
    <w:p>
      <w:pPr>
        <w:rPr>
          <w:rFonts w:hint="default"/>
        </w:rPr>
      </w:pPr>
    </w:p>
    <w:sectPr>
      <w:footerReference r:id="rId3" w:type="default"/>
      <w:pgSz w:w="11906" w:h="16838"/>
      <w:pgMar w:top="1985" w:right="1418" w:bottom="2381" w:left="1418" w:header="1247" w:footer="1814" w:gutter="0"/>
      <w:cols w:space="425" w:num="1"/>
      <w:docGrid w:type="linesAndChars" w:linePitch="303"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2000000000000000000"/>
    <w:charset w:val="86"/>
    <w:family w:val="auto"/>
    <w:pitch w:val="default"/>
    <w:sig w:usb0="00000000" w:usb1="00000000" w:usb2="00082016" w:usb3="00000000" w:csb0="00040001" w:csb1="00000000"/>
  </w:font>
  <w:font w:name="方正仿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方正黑体简体">
    <w:altName w:val="微软雅黑"/>
    <w:panose1 w:val="02010601030101010101"/>
    <w:charset w:val="86"/>
    <w:family w:val="auto"/>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宋体" w:hAnsi="宋体"/>
        <w:sz w:val="28"/>
        <w:szCs w:val="28"/>
      </w:rPr>
    </w:pPr>
    <w:r>
      <w:rPr>
        <w:rStyle w:val="5"/>
        <w:rFonts w:hint="eastAsia" w:ascii="宋体" w:hAnsi="宋体"/>
        <w:sz w:val="28"/>
        <w:szCs w:val="28"/>
      </w:rPr>
      <w:t xml:space="preserve">— </w:t>
    </w: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11</w:t>
    </w:r>
    <w:r>
      <w:rPr>
        <w:rStyle w:val="5"/>
        <w:rFonts w:ascii="宋体" w:hAnsi="宋体"/>
        <w:sz w:val="28"/>
        <w:szCs w:val="28"/>
      </w:rPr>
      <w:fldChar w:fldCharType="end"/>
    </w:r>
    <w:r>
      <w:rPr>
        <w:rStyle w:val="5"/>
        <w:rFonts w:hint="eastAsia" w:ascii="宋体" w:hAnsi="宋体"/>
        <w:sz w:val="28"/>
        <w:szCs w:val="28"/>
      </w:rPr>
      <w:t xml:space="preserve"> —</w:t>
    </w:r>
  </w:p>
  <w:p>
    <w:pPr>
      <w:pStyle w:val="2"/>
      <w:rPr>
        <w:rFonts w:hint="eastAsia"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77AD6D"/>
    <w:rsid w:val="4CE7815B"/>
    <w:rsid w:val="4DF0487A"/>
    <w:rsid w:val="6D77AD6D"/>
    <w:rsid w:val="D4FEDEB7"/>
    <w:rsid w:val="DF78F793"/>
    <w:rsid w:val="EB916716"/>
    <w:rsid w:val="EBDF6399"/>
    <w:rsid w:val="FA4FD140"/>
    <w:rsid w:val="FF6C6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2021-10-20T09:01:00Z</dcterms:created>
  <dc:creator>uos</dc:creator>
  <cp:lastModifiedBy>黄程梁</cp:lastModifiedBy>
  <dcterms:modified xsi:type="dcterms:W3CDTF">2021-10-21T03:25:47Z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549271C655E842C9B49F66E55F086AEA</vt:lpwstr>
  </property>
</Properties>
</file>